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1E4C1" w14:textId="73B18DBD" w:rsidR="009915F0" w:rsidRPr="009915F0"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7B7A51">
        <w:rPr>
          <w:rFonts w:ascii="Arial" w:hAnsi="Arial" w:cs="Arial"/>
          <w:b/>
          <w:sz w:val="24"/>
          <w:lang w:val="en-US"/>
        </w:rPr>
        <w:t>8</w:t>
      </w:r>
      <w:r w:rsidR="001B79C3">
        <w:rPr>
          <w:rFonts w:ascii="Arial" w:hAnsi="Arial" w:cs="Arial"/>
          <w:b/>
          <w:sz w:val="24"/>
          <w:lang w:val="en-US"/>
        </w:rPr>
        <w:t>-e</w:t>
      </w:r>
      <w:r w:rsidR="00623E7F">
        <w:rPr>
          <w:rFonts w:ascii="Arial" w:hAnsi="Arial" w:cs="Arial"/>
          <w:b/>
          <w:sz w:val="24"/>
          <w:lang w:val="en-US"/>
        </w:rPr>
        <w:t xml:space="preserve">       </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E6577">
        <w:rPr>
          <w:rFonts w:ascii="Arial" w:hAnsi="Arial" w:cs="Arial"/>
          <w:b/>
          <w:sz w:val="24"/>
          <w:lang w:val="en-US"/>
        </w:rPr>
        <w:t xml:space="preserve">    </w:t>
      </w:r>
      <w:r>
        <w:rPr>
          <w:rFonts w:ascii="Arial" w:hAnsi="Arial" w:cs="Arial"/>
          <w:b/>
          <w:sz w:val="24"/>
          <w:lang w:val="en-US"/>
        </w:rPr>
        <w:tab/>
      </w:r>
      <w:r w:rsidR="005E5544" w:rsidRPr="005E5544">
        <w:rPr>
          <w:rFonts w:ascii="Arial" w:hAnsi="Arial" w:cs="Arial"/>
          <w:b/>
          <w:sz w:val="24"/>
          <w:lang w:val="en-US"/>
        </w:rPr>
        <w:t>R1-2201726</w:t>
      </w:r>
    </w:p>
    <w:p w14:paraId="0203B661" w14:textId="74DACDE4"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571AAD">
        <w:rPr>
          <w:rFonts w:ascii="Arial" w:hAnsi="Arial" w:cs="Arial"/>
          <w:b/>
          <w:sz w:val="24"/>
          <w:lang w:val="en-US"/>
        </w:rPr>
        <w:t>February</w:t>
      </w:r>
      <w:r w:rsidRPr="009915F0">
        <w:rPr>
          <w:rFonts w:ascii="Arial" w:hAnsi="Arial" w:cs="Arial"/>
          <w:b/>
          <w:sz w:val="24"/>
          <w:lang w:val="en-US"/>
        </w:rPr>
        <w:t xml:space="preserve"> </w:t>
      </w:r>
      <w:r w:rsidR="00571AAD">
        <w:rPr>
          <w:rFonts w:ascii="Arial" w:hAnsi="Arial" w:cs="Arial"/>
          <w:b/>
          <w:sz w:val="24"/>
          <w:lang w:val="en-US"/>
        </w:rPr>
        <w:t>21</w:t>
      </w:r>
      <w:r w:rsidR="00571AAD">
        <w:rPr>
          <w:rFonts w:ascii="Arial" w:hAnsi="Arial" w:cs="Arial"/>
          <w:b/>
          <w:sz w:val="24"/>
          <w:vertAlign w:val="superscript"/>
          <w:lang w:val="en-US"/>
        </w:rPr>
        <w:t>st</w:t>
      </w:r>
      <w:r w:rsidR="001B79C3">
        <w:rPr>
          <w:rFonts w:ascii="Arial" w:hAnsi="Arial" w:cs="Arial"/>
          <w:b/>
          <w:sz w:val="24"/>
          <w:lang w:val="en-US"/>
        </w:rPr>
        <w:t xml:space="preserve"> </w:t>
      </w:r>
      <w:r w:rsidRPr="009915F0">
        <w:rPr>
          <w:rFonts w:ascii="Arial" w:hAnsi="Arial" w:cs="Arial"/>
          <w:b/>
          <w:sz w:val="24"/>
          <w:lang w:val="en-US"/>
        </w:rPr>
        <w:t xml:space="preserve">– </w:t>
      </w:r>
      <w:r w:rsidR="00571AAD">
        <w:rPr>
          <w:rFonts w:ascii="Arial" w:hAnsi="Arial" w:cs="Arial"/>
          <w:b/>
          <w:sz w:val="24"/>
          <w:lang w:val="en-US"/>
        </w:rPr>
        <w:t>March 3</w:t>
      </w:r>
      <w:r w:rsidR="00571AAD">
        <w:rPr>
          <w:rFonts w:ascii="Arial" w:hAnsi="Arial" w:cs="Arial"/>
          <w:b/>
          <w:sz w:val="24"/>
          <w:vertAlign w:val="superscript"/>
          <w:lang w:val="en-US"/>
        </w:rPr>
        <w:t>rd</w:t>
      </w:r>
      <w:r w:rsidRPr="009915F0">
        <w:rPr>
          <w:rFonts w:ascii="Arial" w:hAnsi="Arial" w:cs="Arial"/>
          <w:b/>
          <w:sz w:val="24"/>
          <w:lang w:val="en-US"/>
        </w:rPr>
        <w:t>, 202</w:t>
      </w:r>
      <w:r w:rsidR="00571AAD">
        <w:rPr>
          <w:rFonts w:ascii="Arial" w:hAnsi="Arial" w:cs="Arial"/>
          <w:b/>
          <w:sz w:val="24"/>
          <w:lang w:val="en-US"/>
        </w:rPr>
        <w:t>2</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A7550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3E7F">
        <w:rPr>
          <w:rFonts w:ascii="Arial" w:eastAsia="Malgun Gothic" w:hAnsi="Arial" w:cs="Arial"/>
          <w:b/>
          <w:sz w:val="24"/>
          <w:lang w:val="en-US" w:eastAsia="ko-KR"/>
        </w:rPr>
        <w:t xml:space="preserve">On </w:t>
      </w:r>
      <w:r w:rsidR="003762AE">
        <w:rPr>
          <w:rFonts w:ascii="Arial" w:eastAsia="Malgun Gothic" w:hAnsi="Arial" w:cs="Arial"/>
          <w:b/>
          <w:sz w:val="24"/>
          <w:lang w:val="en-US" w:eastAsia="ko-KR"/>
        </w:rPr>
        <w:t xml:space="preserve">UE features for </w:t>
      </w:r>
      <w:r w:rsidR="00077484" w:rsidRPr="00077484">
        <w:rPr>
          <w:rFonts w:ascii="Arial" w:eastAsia="Malgun Gothic" w:hAnsi="Arial" w:cs="Arial"/>
          <w:b/>
          <w:sz w:val="24"/>
          <w:lang w:val="en-US" w:eastAsia="ko-KR"/>
        </w:rPr>
        <w:t>IOT over NTN</w:t>
      </w:r>
    </w:p>
    <w:p w14:paraId="442797E2" w14:textId="39E01568"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623E7F">
        <w:rPr>
          <w:rFonts w:ascii="Arial" w:hAnsi="Arial" w:cs="Arial"/>
          <w:b/>
          <w:sz w:val="24"/>
          <w:lang w:val="en-US"/>
        </w:rPr>
        <w:t>6</w:t>
      </w:r>
      <w:r w:rsidR="00516E1F">
        <w:rPr>
          <w:rFonts w:ascii="Arial" w:hAnsi="Arial" w:cs="Arial"/>
          <w:b/>
          <w:sz w:val="24"/>
          <w:lang w:val="en-US"/>
        </w:rPr>
        <w:t>.</w:t>
      </w:r>
      <w:r w:rsidR="00D824B0">
        <w:rPr>
          <w:rFonts w:ascii="Arial" w:hAnsi="Arial" w:cs="Arial"/>
          <w:b/>
          <w:sz w:val="24"/>
          <w:lang w:val="en-US"/>
        </w:rPr>
        <w:t>1</w:t>
      </w:r>
      <w:r w:rsidR="00792FCA">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02E84421" w:rsidR="00CD45E3" w:rsidRPr="00B50603" w:rsidRDefault="00111241" w:rsidP="00111241">
      <w:pPr>
        <w:jc w:val="both"/>
        <w:rPr>
          <w:sz w:val="22"/>
          <w:lang w:val="en-US" w:eastAsia="zh-CN"/>
        </w:rPr>
      </w:pPr>
      <w:r w:rsidRPr="00B50603">
        <w:rPr>
          <w:sz w:val="22"/>
          <w:lang w:val="en-US" w:eastAsia="zh-CN"/>
        </w:rPr>
        <w:t xml:space="preserve">In this contribution, we provide discussion on UE features for </w:t>
      </w:r>
      <w:r w:rsidR="00A04CE3" w:rsidRPr="00B50603">
        <w:rPr>
          <w:sz w:val="22"/>
          <w:lang w:val="en-US" w:eastAsia="zh-CN"/>
        </w:rPr>
        <w:t>IoT-</w:t>
      </w:r>
      <w:r w:rsidRPr="00B50603">
        <w:rPr>
          <w:sz w:val="22"/>
          <w:lang w:val="en-US" w:eastAsia="zh-CN"/>
        </w:rPr>
        <w:t xml:space="preserve">NTN based on the latest proposal in [1]. Table with the details on UE features for </w:t>
      </w:r>
      <w:r w:rsidR="00A04CE3" w:rsidRPr="00B50603">
        <w:rPr>
          <w:sz w:val="22"/>
          <w:lang w:val="en-US" w:eastAsia="zh-CN"/>
        </w:rPr>
        <w:t>IoT-</w:t>
      </w:r>
      <w:r w:rsidRPr="00B50603">
        <w:rPr>
          <w:sz w:val="22"/>
          <w:lang w:val="en-US" w:eastAsia="zh-CN"/>
        </w:rPr>
        <w:t>NTN is captured in the Appendix (copied from [1] with proposed changes highlighted by red font).</w:t>
      </w:r>
    </w:p>
    <w:p w14:paraId="2AB085B8" w14:textId="5195C09E" w:rsidR="00874738" w:rsidRPr="002A2980" w:rsidRDefault="00CD45E3" w:rsidP="002A2980">
      <w:pPr>
        <w:pStyle w:val="Heading1"/>
        <w:numPr>
          <w:ilvl w:val="0"/>
          <w:numId w:val="5"/>
        </w:numPr>
        <w:pBdr>
          <w:top w:val="single" w:sz="12" w:space="4" w:color="auto"/>
        </w:pBdr>
        <w:rPr>
          <w:rFonts w:cs="Arial"/>
          <w:lang w:val="en-US"/>
        </w:rPr>
      </w:pPr>
      <w:r>
        <w:rPr>
          <w:rFonts w:cs="Arial"/>
          <w:lang w:val="en-US"/>
        </w:rPr>
        <w:t>Discussion</w:t>
      </w:r>
    </w:p>
    <w:p w14:paraId="512A6170" w14:textId="69D34267" w:rsidR="008C0D73" w:rsidRPr="00FC67C6" w:rsidRDefault="00103952" w:rsidP="00A2598F">
      <w:pPr>
        <w:rPr>
          <w:sz w:val="22"/>
          <w:szCs w:val="22"/>
        </w:rPr>
      </w:pPr>
      <w:r w:rsidRPr="00FC67C6">
        <w:rPr>
          <w:sz w:val="22"/>
          <w:szCs w:val="22"/>
        </w:rPr>
        <w:t>We have the following comments on the UE feature list</w:t>
      </w:r>
      <w:r w:rsidR="00C57B7C">
        <w:rPr>
          <w:sz w:val="22"/>
          <w:szCs w:val="22"/>
        </w:rPr>
        <w:t xml:space="preserve"> for IoT-NTN</w:t>
      </w:r>
      <w:r w:rsidRPr="00FC67C6">
        <w:rPr>
          <w:sz w:val="22"/>
          <w:szCs w:val="22"/>
        </w:rPr>
        <w:t xml:space="preserve"> in [1].</w:t>
      </w:r>
    </w:p>
    <w:p w14:paraId="2AC1E5A6" w14:textId="2C96FBAA" w:rsidR="00407379" w:rsidRDefault="00407379" w:rsidP="00407379">
      <w:pPr>
        <w:pStyle w:val="ListParagraph"/>
        <w:numPr>
          <w:ilvl w:val="0"/>
          <w:numId w:val="28"/>
        </w:numPr>
        <w:rPr>
          <w:rFonts w:ascii="Times New Roman" w:hAnsi="Times New Roman"/>
        </w:rPr>
      </w:pPr>
      <w:r w:rsidRPr="00407379">
        <w:rPr>
          <w:rFonts w:ascii="Times New Roman" w:hAnsi="Times New Roman"/>
        </w:rPr>
        <w:t>Word Satellite can be removed since it is already clear that operation with satellite is assumed for NTN.</w:t>
      </w:r>
    </w:p>
    <w:p w14:paraId="1FA648BC" w14:textId="77777777" w:rsidR="009A4CB3" w:rsidRPr="009A4CB3" w:rsidRDefault="009A4CB3" w:rsidP="009A4CB3">
      <w:pPr>
        <w:pStyle w:val="ListParagraph"/>
        <w:numPr>
          <w:ilvl w:val="0"/>
          <w:numId w:val="28"/>
        </w:numPr>
        <w:rPr>
          <w:rFonts w:ascii="Times New Roman" w:hAnsi="Times New Roman"/>
        </w:rPr>
      </w:pPr>
      <w:r w:rsidRPr="009A4CB3">
        <w:rPr>
          <w:rFonts w:ascii="Times New Roman" w:hAnsi="Times New Roman"/>
        </w:rPr>
        <w:t>UE capability for NTN can be indicated per band to allow more flexibility for UE implementation.</w:t>
      </w:r>
    </w:p>
    <w:p w14:paraId="374174D0" w14:textId="1EF01AFA" w:rsidR="00455E8E" w:rsidRDefault="00133C6B" w:rsidP="00407379">
      <w:pPr>
        <w:pStyle w:val="ListParagraph"/>
        <w:numPr>
          <w:ilvl w:val="0"/>
          <w:numId w:val="28"/>
        </w:numPr>
        <w:rPr>
          <w:rFonts w:ascii="Times New Roman" w:hAnsi="Times New Roman"/>
        </w:rPr>
      </w:pPr>
      <w:r w:rsidRPr="00133C6B">
        <w:rPr>
          <w:rFonts w:ascii="Times New Roman" w:hAnsi="Times New Roman"/>
        </w:rPr>
        <w:t>Separate signaling</w:t>
      </w:r>
      <w:r>
        <w:rPr>
          <w:rFonts w:ascii="Times New Roman" w:hAnsi="Times New Roman"/>
        </w:rPr>
        <w:t xml:space="preserve"> of UE capabilities</w:t>
      </w:r>
      <w:r w:rsidRPr="00133C6B">
        <w:rPr>
          <w:rFonts w:ascii="Times New Roman" w:hAnsi="Times New Roman"/>
        </w:rPr>
        <w:t xml:space="preserve"> for eMTC and NB-IoT</w:t>
      </w:r>
      <w:r>
        <w:rPr>
          <w:rFonts w:ascii="Times New Roman" w:hAnsi="Times New Roman"/>
        </w:rPr>
        <w:t xml:space="preserve"> can be used to </w:t>
      </w:r>
      <w:r w:rsidRPr="009A4CB3">
        <w:rPr>
          <w:rFonts w:ascii="Times New Roman" w:hAnsi="Times New Roman"/>
        </w:rPr>
        <w:t>allow more flexibility for UE implementation</w:t>
      </w:r>
      <w:r>
        <w:rPr>
          <w:rFonts w:ascii="Times New Roman" w:hAnsi="Times New Roman"/>
        </w:rPr>
        <w:t>.</w:t>
      </w:r>
    </w:p>
    <w:p w14:paraId="309B8DA9" w14:textId="23DFCDB1" w:rsidR="00EC23D6" w:rsidRPr="00407379" w:rsidRDefault="00EC23D6" w:rsidP="00407379">
      <w:pPr>
        <w:pStyle w:val="ListParagraph"/>
        <w:numPr>
          <w:ilvl w:val="0"/>
          <w:numId w:val="28"/>
        </w:numPr>
        <w:rPr>
          <w:rFonts w:ascii="Times New Roman" w:hAnsi="Times New Roman"/>
        </w:rPr>
      </w:pPr>
      <w:r>
        <w:rPr>
          <w:rFonts w:ascii="Times New Roman" w:hAnsi="Times New Roman"/>
        </w:rPr>
        <w:t xml:space="preserve">For Component 1-1 in FG 2-1, </w:t>
      </w:r>
      <w:r w:rsidR="002A5ADD">
        <w:rPr>
          <w:rFonts w:ascii="Times New Roman" w:hAnsi="Times New Roman"/>
        </w:rPr>
        <w:t>brackets can be removed since indication of validity duration was agreed in RAN1.</w:t>
      </w:r>
    </w:p>
    <w:p w14:paraId="3CF83E0B" w14:textId="0F647468" w:rsidR="00901F19" w:rsidRDefault="006E5169" w:rsidP="00FC67C6">
      <w:pPr>
        <w:pStyle w:val="ListParagraph"/>
        <w:numPr>
          <w:ilvl w:val="0"/>
          <w:numId w:val="28"/>
        </w:numPr>
        <w:rPr>
          <w:rFonts w:ascii="Times New Roman" w:hAnsi="Times New Roman"/>
        </w:rPr>
      </w:pPr>
      <w:r>
        <w:rPr>
          <w:rFonts w:ascii="Times New Roman" w:hAnsi="Times New Roman"/>
        </w:rPr>
        <w:t xml:space="preserve">For </w:t>
      </w:r>
      <w:r w:rsidRPr="00FE7006">
        <w:rPr>
          <w:rFonts w:ascii="Times New Roman" w:hAnsi="Times New Roman"/>
        </w:rPr>
        <w:t xml:space="preserve">FG 2-2 and FG 2-3, differentiation based on orbits such as LEO/MEO/GEO is not needed since </w:t>
      </w:r>
      <w:r w:rsidR="00C17AD3" w:rsidRPr="00FE7006">
        <w:rPr>
          <w:rFonts w:ascii="Times New Roman" w:hAnsi="Times New Roman"/>
        </w:rPr>
        <w:t xml:space="preserve">the corresponding UE feature may be </w:t>
      </w:r>
      <w:r w:rsidR="00362521" w:rsidRPr="00FE7006">
        <w:rPr>
          <w:rFonts w:ascii="Times New Roman" w:hAnsi="Times New Roman"/>
        </w:rPr>
        <w:t>supported or not</w:t>
      </w:r>
      <w:r w:rsidR="00C17AD3" w:rsidRPr="00FE7006">
        <w:rPr>
          <w:rFonts w:ascii="Times New Roman" w:hAnsi="Times New Roman"/>
        </w:rPr>
        <w:t xml:space="preserve"> for </w:t>
      </w:r>
      <w:r w:rsidR="00DA740C">
        <w:rPr>
          <w:rFonts w:ascii="Times New Roman" w:hAnsi="Times New Roman"/>
        </w:rPr>
        <w:t>a</w:t>
      </w:r>
      <w:r w:rsidR="00C17AD3" w:rsidRPr="00FE7006">
        <w:rPr>
          <w:rFonts w:ascii="Times New Roman" w:hAnsi="Times New Roman"/>
        </w:rPr>
        <w:t xml:space="preserve"> band without considering particular </w:t>
      </w:r>
      <w:r w:rsidR="00362521" w:rsidRPr="00FE7006">
        <w:rPr>
          <w:rFonts w:ascii="Times New Roman" w:hAnsi="Times New Roman"/>
        </w:rPr>
        <w:t xml:space="preserve">deployment characteristics. </w:t>
      </w:r>
      <w:r w:rsidR="00FE7006" w:rsidRPr="00FE7006">
        <w:rPr>
          <w:rFonts w:ascii="Times New Roman" w:hAnsi="Times New Roman"/>
        </w:rPr>
        <w:t xml:space="preserve">Also, in our view the corresponding FGs should be supported </w:t>
      </w:r>
      <w:r w:rsidR="00FE7006" w:rsidRPr="00FE7006">
        <w:rPr>
          <w:rFonts w:ascii="Times New Roman" w:hAnsi="Times New Roman"/>
          <w:lang w:eastAsia="ja-JP"/>
        </w:rPr>
        <w:t>for all UEs supporting NB-IoT/eMTC NTN</w:t>
      </w:r>
      <w:r w:rsidR="00FE7006">
        <w:rPr>
          <w:rFonts w:ascii="Times New Roman" w:hAnsi="Times New Roman"/>
          <w:lang w:eastAsia="ja-JP"/>
        </w:rPr>
        <w:t xml:space="preserve"> since</w:t>
      </w:r>
      <w:r w:rsidR="005C590D">
        <w:rPr>
          <w:rFonts w:ascii="Times New Roman" w:hAnsi="Times New Roman"/>
          <w:lang w:eastAsia="ja-JP"/>
        </w:rPr>
        <w:t xml:space="preserve"> UE-specific slot offset and reporting of UE’s TA are important features to enable half-duplex FDD devices.</w:t>
      </w:r>
    </w:p>
    <w:p w14:paraId="150CCA9E" w14:textId="509C8C6A" w:rsidR="00FE7006" w:rsidRPr="00FC67C6" w:rsidRDefault="00A666CC" w:rsidP="00FC67C6">
      <w:pPr>
        <w:pStyle w:val="ListParagraph"/>
        <w:numPr>
          <w:ilvl w:val="0"/>
          <w:numId w:val="28"/>
        </w:numPr>
        <w:rPr>
          <w:rFonts w:ascii="Times New Roman" w:hAnsi="Times New Roman"/>
        </w:rPr>
      </w:pPr>
      <w:r>
        <w:rPr>
          <w:rFonts w:ascii="Times New Roman" w:hAnsi="Times New Roman"/>
        </w:rPr>
        <w:t xml:space="preserve">For FG 2-3, </w:t>
      </w:r>
      <w:r w:rsidR="00BB3DC6" w:rsidRPr="00BB3DC6">
        <w:rPr>
          <w:rFonts w:ascii="Times New Roman" w:hAnsi="Times New Roman"/>
        </w:rPr>
        <w:t>many aspects of UE reporting of information about the UE specific TA pre-compensation were defined in RAN2 including reporting of TA during initial access and in RRC_CONNECTED state and reporting of UE location information. Thus, in our view RAN2 can define the details on the UE capability signaling for the exact content of UE reporting of information about the UE specific TA pre-compensation.</w:t>
      </w:r>
    </w:p>
    <w:p w14:paraId="4A41C859" w14:textId="7114A5FF" w:rsidR="00B80D06" w:rsidRDefault="00B80D06" w:rsidP="00B80D06">
      <w:pPr>
        <w:pStyle w:val="Heading1"/>
        <w:numPr>
          <w:ilvl w:val="0"/>
          <w:numId w:val="5"/>
        </w:numPr>
      </w:pPr>
      <w:r>
        <w:t>Conclusion</w:t>
      </w:r>
    </w:p>
    <w:p w14:paraId="31B36024" w14:textId="2106F202" w:rsidR="0046537B" w:rsidRPr="00B50603" w:rsidRDefault="0046537B" w:rsidP="0046537B">
      <w:pPr>
        <w:jc w:val="both"/>
        <w:rPr>
          <w:sz w:val="22"/>
          <w:szCs w:val="22"/>
        </w:rPr>
      </w:pPr>
      <w:r w:rsidRPr="00B50603">
        <w:rPr>
          <w:sz w:val="22"/>
          <w:szCs w:val="22"/>
        </w:rPr>
        <w:t>In this contribution, we provide discussion on UE features for IoT-NTN. The following proposal is made.</w:t>
      </w:r>
    </w:p>
    <w:p w14:paraId="497C006C" w14:textId="77777777" w:rsidR="0046537B" w:rsidRPr="00B50603" w:rsidRDefault="0046537B" w:rsidP="0046537B">
      <w:pPr>
        <w:jc w:val="both"/>
        <w:rPr>
          <w:i/>
          <w:iCs/>
          <w:sz w:val="22"/>
          <w:szCs w:val="22"/>
        </w:rPr>
      </w:pPr>
      <w:r w:rsidRPr="00B50603">
        <w:rPr>
          <w:b/>
          <w:bCs/>
          <w:i/>
          <w:iCs/>
          <w:sz w:val="22"/>
          <w:szCs w:val="22"/>
        </w:rPr>
        <w:t>Proposal</w:t>
      </w:r>
      <w:r w:rsidRPr="00B50603">
        <w:rPr>
          <w:i/>
          <w:iCs/>
          <w:sz w:val="22"/>
          <w:szCs w:val="22"/>
        </w:rPr>
        <w:t xml:space="preserve">: </w:t>
      </w:r>
    </w:p>
    <w:p w14:paraId="35290F2E" w14:textId="71E4B68B" w:rsidR="0046537B" w:rsidRPr="00B50603" w:rsidRDefault="0046537B" w:rsidP="0046537B">
      <w:pPr>
        <w:pStyle w:val="ListParagraph"/>
        <w:numPr>
          <w:ilvl w:val="0"/>
          <w:numId w:val="27"/>
        </w:numPr>
        <w:jc w:val="both"/>
        <w:rPr>
          <w:rFonts w:ascii="Times New Roman" w:hAnsi="Times New Roman"/>
          <w:i/>
          <w:iCs/>
        </w:rPr>
      </w:pPr>
      <w:r w:rsidRPr="00B50603">
        <w:rPr>
          <w:rFonts w:ascii="Times New Roman" w:hAnsi="Times New Roman"/>
          <w:i/>
          <w:iCs/>
        </w:rPr>
        <w:t>Consider changes to the UE feature list for IoT-NTN marked below using red font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3FE7383" w14:textId="4BE0C17F" w:rsidR="00B1729C" w:rsidRPr="009E4976" w:rsidRDefault="008A7697" w:rsidP="00B1729C">
      <w:pPr>
        <w:numPr>
          <w:ilvl w:val="0"/>
          <w:numId w:val="2"/>
        </w:numPr>
        <w:rPr>
          <w:sz w:val="22"/>
          <w:szCs w:val="22"/>
          <w:lang w:val="en-US" w:eastAsia="zh-CN"/>
        </w:rPr>
      </w:pPr>
      <w:bookmarkStart w:id="0" w:name="_Ref83826221"/>
      <w:r w:rsidRPr="009E4976">
        <w:rPr>
          <w:sz w:val="22"/>
          <w:szCs w:val="22"/>
          <w:lang w:val="en-US" w:eastAsia="zh-CN"/>
        </w:rPr>
        <w:t>R1-2112900</w:t>
      </w:r>
      <w:r w:rsidR="00B1729C" w:rsidRPr="009E4976">
        <w:rPr>
          <w:sz w:val="22"/>
          <w:szCs w:val="22"/>
          <w:lang w:val="en-US" w:eastAsia="zh-CN"/>
        </w:rPr>
        <w:t xml:space="preserve">, </w:t>
      </w:r>
      <w:bookmarkEnd w:id="0"/>
      <w:r w:rsidR="009E4976" w:rsidRPr="009E4976">
        <w:rPr>
          <w:sz w:val="22"/>
          <w:szCs w:val="22"/>
          <w:lang w:val="en-US" w:eastAsia="zh-CN"/>
        </w:rPr>
        <w:t>Updated RAN1 UE features list for Rel-17 LTE after RAN1 #107-e</w:t>
      </w:r>
    </w:p>
    <w:p w14:paraId="227657D8" w14:textId="666E004E" w:rsidR="002B1EC5" w:rsidRDefault="00EA514D">
      <w:pPr>
        <w:overflowPunct/>
        <w:autoSpaceDE/>
        <w:autoSpaceDN/>
        <w:adjustRightInd/>
        <w:spacing w:after="0"/>
        <w:textAlignment w:val="auto"/>
        <w:rPr>
          <w:sz w:val="22"/>
          <w:szCs w:val="22"/>
          <w:lang w:val="en-US" w:eastAsia="zh-CN"/>
        </w:rPr>
        <w:sectPr w:rsidR="002B1E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pPr>
      <w:r>
        <w:rPr>
          <w:sz w:val="22"/>
          <w:szCs w:val="22"/>
          <w:lang w:val="en-US" w:eastAsia="zh-CN"/>
        </w:rPr>
        <w:br w:type="page"/>
      </w:r>
    </w:p>
    <w:p w14:paraId="02BA3E58" w14:textId="4AF05C02" w:rsidR="00033F7F" w:rsidRDefault="00934510" w:rsidP="009823DF">
      <w:pPr>
        <w:pStyle w:val="Heading1"/>
        <w:rPr>
          <w:lang w:val="en-US" w:eastAsia="zh-CN"/>
        </w:rPr>
      </w:pPr>
      <w:r>
        <w:rPr>
          <w:lang w:val="en-US" w:eastAsia="zh-CN"/>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7"/>
        <w:gridCol w:w="1489"/>
        <w:gridCol w:w="2883"/>
        <w:gridCol w:w="1327"/>
        <w:gridCol w:w="1287"/>
        <w:gridCol w:w="1694"/>
        <w:gridCol w:w="1775"/>
        <w:gridCol w:w="1747"/>
        <w:gridCol w:w="1499"/>
        <w:gridCol w:w="1536"/>
        <w:gridCol w:w="1908"/>
        <w:gridCol w:w="2287"/>
      </w:tblGrid>
      <w:tr w:rsidR="000E6CE9" w:rsidRPr="000E6CE9" w14:paraId="70E1A6F0" w14:textId="77777777" w:rsidTr="00DD3941">
        <w:tc>
          <w:tcPr>
            <w:tcW w:w="0" w:type="auto"/>
            <w:tcBorders>
              <w:top w:val="single" w:sz="4" w:space="0" w:color="auto"/>
              <w:left w:val="single" w:sz="4" w:space="0" w:color="auto"/>
              <w:bottom w:val="single" w:sz="4" w:space="0" w:color="auto"/>
              <w:right w:val="single" w:sz="4" w:space="0" w:color="auto"/>
            </w:tcBorders>
            <w:hideMark/>
          </w:tcPr>
          <w:p w14:paraId="356BA662"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DADBA2"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028D47B"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96C4BA0"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A9E03E7"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089965"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A7CA"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8BE99AB" w14:textId="77777777" w:rsidR="000E6CE9" w:rsidRPr="000E6CE9" w:rsidRDefault="000E6CE9" w:rsidP="000E6CE9">
            <w:pPr>
              <w:keepNext/>
              <w:keepLines/>
              <w:overflowPunct/>
              <w:autoSpaceDE/>
              <w:autoSpaceDN/>
              <w:adjustRightInd/>
              <w:spacing w:after="0"/>
              <w:textAlignment w:val="auto"/>
              <w:rPr>
                <w:rFonts w:ascii="Arial" w:hAnsi="Arial" w:cs="Arial"/>
                <w:b/>
                <w:color w:val="000000"/>
                <w:sz w:val="18"/>
                <w:szCs w:val="18"/>
                <w:lang w:eastAsia="ja-JP"/>
              </w:rPr>
            </w:pPr>
            <w:r w:rsidRPr="000E6CE9">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1A1230" w14:textId="77777777" w:rsidR="000E6CE9" w:rsidRPr="000E6CE9" w:rsidRDefault="000E6CE9" w:rsidP="000E6CE9">
            <w:pPr>
              <w:keepNext/>
              <w:keepLines/>
              <w:overflowPunct/>
              <w:autoSpaceDE/>
              <w:autoSpaceDN/>
              <w:adjustRightInd/>
              <w:spacing w:after="0"/>
              <w:textAlignment w:val="auto"/>
              <w:rPr>
                <w:rFonts w:ascii="Arial" w:hAnsi="Arial" w:cs="Arial"/>
                <w:b/>
                <w:color w:val="000000"/>
                <w:sz w:val="18"/>
                <w:szCs w:val="18"/>
                <w:lang w:eastAsia="ja-JP"/>
              </w:rPr>
            </w:pPr>
            <w:r w:rsidRPr="000E6CE9">
              <w:rPr>
                <w:rFonts w:ascii="Arial" w:hAnsi="Arial" w:cs="Arial"/>
                <w:b/>
                <w:color w:val="000000"/>
                <w:sz w:val="18"/>
                <w:szCs w:val="18"/>
                <w:lang w:eastAsia="ja-JP"/>
              </w:rPr>
              <w:t>Type</w:t>
            </w:r>
          </w:p>
          <w:p w14:paraId="1A385F7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B3B352"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F34621" w14:textId="77777777" w:rsidR="000E6CE9" w:rsidRPr="000E6CE9" w:rsidRDefault="000E6CE9" w:rsidP="000E6CE9">
            <w:pPr>
              <w:keepNext/>
              <w:keepLines/>
              <w:spacing w:after="0"/>
              <w:jc w:val="center"/>
              <w:rPr>
                <w:rFonts w:ascii="Arial" w:eastAsia="Times New Roman" w:hAnsi="Arial" w:cs="Arial"/>
                <w:b/>
                <w:color w:val="000000"/>
                <w:sz w:val="18"/>
                <w:szCs w:val="18"/>
                <w:lang w:eastAsia="x-none"/>
              </w:rPr>
            </w:pPr>
            <w:r w:rsidRPr="000E6CE9">
              <w:rPr>
                <w:rFonts w:ascii="Arial" w:eastAsia="Times New Roman" w:hAnsi="Arial" w:cs="Arial"/>
                <w:b/>
                <w:color w:val="000000"/>
                <w:sz w:val="18"/>
                <w:szCs w:val="18"/>
                <w:lang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ED624D9"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8506FE6" w14:textId="77777777" w:rsidR="000E6CE9" w:rsidRPr="000E6CE9" w:rsidRDefault="000E6CE9" w:rsidP="000E6CE9">
            <w:pPr>
              <w:keepNext/>
              <w:keepLines/>
              <w:spacing w:after="0"/>
              <w:jc w:val="center"/>
              <w:rPr>
                <w:rFonts w:ascii="Arial" w:eastAsia="Times New Roman" w:hAnsi="Arial" w:cs="Arial"/>
                <w:b/>
                <w:color w:val="000000"/>
                <w:sz w:val="18"/>
                <w:szCs w:val="18"/>
                <w:lang w:eastAsia="ja-JP"/>
              </w:rPr>
            </w:pPr>
            <w:r w:rsidRPr="000E6CE9">
              <w:rPr>
                <w:rFonts w:ascii="Arial" w:eastAsia="Times New Roman" w:hAnsi="Arial" w:cs="Arial"/>
                <w:b/>
                <w:color w:val="000000"/>
                <w:sz w:val="18"/>
                <w:szCs w:val="18"/>
                <w:lang w:eastAsia="ja-JP"/>
              </w:rPr>
              <w:t>Mandatory/Optional</w:t>
            </w:r>
          </w:p>
        </w:tc>
      </w:tr>
      <w:tr w:rsidR="000E6CE9" w:rsidRPr="000E6CE9" w14:paraId="0CDD5AD8" w14:textId="77777777" w:rsidTr="00DD3941">
        <w:tc>
          <w:tcPr>
            <w:tcW w:w="0" w:type="auto"/>
            <w:tcBorders>
              <w:top w:val="single" w:sz="4" w:space="0" w:color="auto"/>
              <w:left w:val="single" w:sz="4" w:space="0" w:color="auto"/>
              <w:bottom w:val="single" w:sz="4" w:space="0" w:color="auto"/>
              <w:right w:val="single" w:sz="4" w:space="0" w:color="auto"/>
            </w:tcBorders>
          </w:tcPr>
          <w:p w14:paraId="1BCE43F8"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lastRenderedPageBreak/>
              <w:t>2. LTE_NBIOT_eMTC_NTN</w:t>
            </w:r>
          </w:p>
        </w:tc>
        <w:tc>
          <w:tcPr>
            <w:tcW w:w="0" w:type="auto"/>
            <w:tcBorders>
              <w:top w:val="single" w:sz="4" w:space="0" w:color="auto"/>
              <w:left w:val="single" w:sz="4" w:space="0" w:color="auto"/>
              <w:bottom w:val="single" w:sz="4" w:space="0" w:color="auto"/>
              <w:right w:val="single" w:sz="4" w:space="0" w:color="auto"/>
            </w:tcBorders>
          </w:tcPr>
          <w:p w14:paraId="53124175"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7E66007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Basic IoT over NTN support</w:t>
            </w:r>
          </w:p>
        </w:tc>
        <w:tc>
          <w:tcPr>
            <w:tcW w:w="0" w:type="auto"/>
            <w:tcBorders>
              <w:top w:val="single" w:sz="4" w:space="0" w:color="auto"/>
              <w:left w:val="single" w:sz="4" w:space="0" w:color="auto"/>
              <w:bottom w:val="single" w:sz="4" w:space="0" w:color="auto"/>
              <w:right w:val="single" w:sz="4" w:space="0" w:color="auto"/>
            </w:tcBorders>
          </w:tcPr>
          <w:p w14:paraId="2A2CC2B4"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1. UE derives its position based on its GNSS measurements</w:t>
            </w:r>
          </w:p>
          <w:p w14:paraId="12363568"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strike/>
                <w:color w:val="FF0000"/>
                <w:sz w:val="18"/>
                <w:szCs w:val="18"/>
              </w:rPr>
              <w:t>[</w:t>
            </w:r>
            <w:r w:rsidRPr="000E6CE9">
              <w:rPr>
                <w:rFonts w:ascii="Arial" w:hAnsi="Arial" w:cs="Arial"/>
                <w:color w:val="000000"/>
                <w:sz w:val="18"/>
                <w:szCs w:val="18"/>
              </w:rPr>
              <w:t>1-1. UE report the validity duration of GNSS</w:t>
            </w:r>
            <w:r w:rsidRPr="000E6CE9">
              <w:rPr>
                <w:rFonts w:ascii="Arial" w:hAnsi="Arial" w:cs="Arial"/>
                <w:strike/>
                <w:color w:val="FF0000"/>
                <w:sz w:val="18"/>
                <w:szCs w:val="18"/>
              </w:rPr>
              <w:t>]</w:t>
            </w:r>
          </w:p>
          <w:p w14:paraId="44AB8B3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 xml:space="preserve">2. Receive serving satellite ephemeris in either state vector format or orbital element format </w:t>
            </w:r>
          </w:p>
          <w:p w14:paraId="040935F9" w14:textId="77777777" w:rsidR="000E6CE9" w:rsidRPr="000E6CE9" w:rsidRDefault="000E6CE9" w:rsidP="000E6CE9">
            <w:pPr>
              <w:overflowPunct/>
              <w:autoSpaceDE/>
              <w:autoSpaceDN/>
              <w:adjustRightInd/>
              <w:spacing w:afterLines="50" w:after="120"/>
              <w:contextualSpacing/>
              <w:textAlignment w:val="auto"/>
              <w:rPr>
                <w:rFonts w:ascii="Arial" w:eastAsia="MS Gothic" w:hAnsi="Arial" w:cs="Arial"/>
                <w:color w:val="000000"/>
                <w:sz w:val="18"/>
                <w:szCs w:val="18"/>
                <w:lang w:eastAsia="ja-JP"/>
              </w:rPr>
            </w:pPr>
            <w:r w:rsidRPr="000E6CE9">
              <w:rPr>
                <w:rFonts w:ascii="Arial" w:eastAsia="MS Gothic" w:hAnsi="Arial" w:cs="Arial"/>
                <w:color w:val="000000"/>
                <w:sz w:val="18"/>
                <w:szCs w:val="18"/>
                <w:lang w:eastAsia="ja-JP"/>
              </w:rPr>
              <w:t>4. UE specific TA calculation in RRC_IDLE and RRC_CONNECTED state based on its GNSS-acquired position and the serving satellite ephemeris</w:t>
            </w:r>
          </w:p>
          <w:p w14:paraId="70683545" w14:textId="77777777" w:rsidR="000E6CE9" w:rsidRPr="000E6CE9" w:rsidRDefault="000E6CE9" w:rsidP="000E6CE9">
            <w:pPr>
              <w:overflowPunct/>
              <w:autoSpaceDE/>
              <w:autoSpaceDN/>
              <w:adjustRightInd/>
              <w:spacing w:after="0"/>
              <w:contextualSpacing/>
              <w:textAlignment w:val="auto"/>
              <w:rPr>
                <w:rFonts w:ascii="Arial" w:eastAsia="MS Gothic" w:hAnsi="Arial" w:cs="Arial"/>
                <w:color w:val="000000"/>
                <w:sz w:val="18"/>
                <w:szCs w:val="18"/>
                <w:lang w:eastAsia="ja-JP"/>
              </w:rPr>
            </w:pPr>
            <w:r w:rsidRPr="000E6CE9">
              <w:rPr>
                <w:rFonts w:ascii="Arial" w:eastAsia="MS Gothic" w:hAnsi="Arial" w:cs="Arial"/>
                <w:color w:val="000000"/>
                <w:sz w:val="18"/>
                <w:szCs w:val="18"/>
                <w:lang w:eastAsia="ja-JP"/>
              </w:rPr>
              <w:t>6. UE applies common TA in RRC_IDLE and RRC_CONNECTED according to the parameters provided by the network (UE considers common TA as 0 if the parameter is not provided)</w:t>
            </w:r>
          </w:p>
          <w:p w14:paraId="68D09186" w14:textId="77777777" w:rsidR="000E6CE9" w:rsidRP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[7. For TA update in RRC_CONNECTED state, combination of both open (i.e. UE autonomous TA estimation, and common TA estimation) and closed (i.e., received TA commands) control loops]</w:t>
            </w:r>
          </w:p>
          <w:p w14:paraId="246BAC74"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 xml:space="preserve">8. In RRC_IDLE and RRC_CONNECTED state, UE calculates frequency pre-compensation to counter shift the Doppler experienced on the service link </w:t>
            </w:r>
            <w:r w:rsidRPr="000E6CE9">
              <w:rPr>
                <w:rFonts w:ascii="Arial" w:hAnsi="Arial" w:cs="Arial"/>
                <w:strike/>
                <w:color w:val="FF0000"/>
                <w:sz w:val="18"/>
                <w:szCs w:val="18"/>
              </w:rPr>
              <w:t>[in DL] [and] [in UL]</w:t>
            </w:r>
          </w:p>
          <w:p w14:paraId="51C3B1C3"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 xml:space="preserve">10. Support a validity timer of UL synchronization is configured by the network </w:t>
            </w:r>
          </w:p>
          <w:p w14:paraId="5B87549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13. UE applies cell specific K_offset in timing relationship enhancements</w:t>
            </w:r>
          </w:p>
          <w:p w14:paraId="71C4FB05" w14:textId="072E2226"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14.UE estimates UE-gNB RTT</w:t>
            </w:r>
            <w:r w:rsidR="009F621F">
              <w:rPr>
                <w:rFonts w:ascii="Arial" w:hAnsi="Arial" w:cs="Arial"/>
                <w:color w:val="000000"/>
                <w:sz w:val="18"/>
                <w:szCs w:val="18"/>
              </w:rPr>
              <w:t xml:space="preserve"> </w:t>
            </w:r>
            <w:r w:rsidR="009F621F" w:rsidRPr="009F621F">
              <w:rPr>
                <w:rFonts w:ascii="Arial" w:hAnsi="Arial" w:cs="Arial"/>
                <w:color w:val="FF0000"/>
                <w:sz w:val="18"/>
                <w:szCs w:val="18"/>
              </w:rPr>
              <w:t xml:space="preserve">and delays the starts of ra-ResponseWindow by </w:t>
            </w:r>
            <w:r w:rsidR="009F621F" w:rsidRPr="000E6CE9">
              <w:rPr>
                <w:rFonts w:ascii="Arial" w:hAnsi="Arial" w:cs="Arial"/>
                <w:color w:val="FF0000"/>
                <w:sz w:val="18"/>
                <w:szCs w:val="18"/>
              </w:rPr>
              <w:t>UE-gNB RTT</w:t>
            </w:r>
          </w:p>
          <w:p w14:paraId="2CDEEAAD" w14:textId="77777777" w:rsidR="000E6CE9" w:rsidRP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[15. delaying the starts of ra-ResponseWindow]</w:t>
            </w:r>
          </w:p>
          <w:p w14:paraId="7EDDAC10" w14:textId="0C85630B"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strike/>
                <w:color w:val="FF0000"/>
                <w:sz w:val="18"/>
                <w:szCs w:val="18"/>
              </w:rPr>
              <w:t>[</w:t>
            </w:r>
            <w:r w:rsidRPr="000E6CE9">
              <w:rPr>
                <w:rFonts w:ascii="Arial" w:hAnsi="Arial" w:cs="Arial"/>
                <w:color w:val="000000"/>
                <w:sz w:val="18"/>
                <w:szCs w:val="18"/>
              </w:rPr>
              <w:t xml:space="preserve">16. </w:t>
            </w:r>
            <w:r w:rsidR="00F80C31" w:rsidRPr="00F80C31">
              <w:rPr>
                <w:rFonts w:ascii="Arial" w:hAnsi="Arial" w:cs="Arial"/>
                <w:color w:val="FF0000"/>
                <w:sz w:val="18"/>
                <w:szCs w:val="18"/>
                <w:lang w:eastAsia="zh-CN"/>
              </w:rPr>
              <w:t xml:space="preserve">Delaying the UE action and assumption on a downlink configuration carried by MAC CE </w:t>
            </w:r>
            <w:r w:rsidR="00F80C31" w:rsidRPr="00F80C31">
              <w:rPr>
                <w:rFonts w:ascii="Arial" w:hAnsi="Arial" w:cs="Arial"/>
                <w:color w:val="FF0000"/>
                <w:sz w:val="18"/>
                <w:szCs w:val="18"/>
                <w:lang w:eastAsia="zh-CN"/>
              </w:rPr>
              <w:lastRenderedPageBreak/>
              <w:t>command by K_mac if it is indicated</w:t>
            </w:r>
            <w:r w:rsidRPr="000E6CE9">
              <w:rPr>
                <w:rFonts w:ascii="Arial" w:hAnsi="Arial" w:cs="Arial"/>
                <w:strike/>
                <w:color w:val="FF0000"/>
                <w:sz w:val="18"/>
                <w:szCs w:val="18"/>
              </w:rPr>
              <w:t>]</w:t>
            </w:r>
          </w:p>
          <w:p w14:paraId="191ECB04"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17. In RRC_IDLE state and RRC_CONNECTED state, pre-compensate the calculated frequency offset and TA in uplink transmissions</w:t>
            </w:r>
          </w:p>
        </w:tc>
        <w:tc>
          <w:tcPr>
            <w:tcW w:w="0" w:type="auto"/>
            <w:tcBorders>
              <w:top w:val="single" w:sz="4" w:space="0" w:color="auto"/>
              <w:left w:val="single" w:sz="4" w:space="0" w:color="auto"/>
              <w:bottom w:val="single" w:sz="4" w:space="0" w:color="auto"/>
              <w:right w:val="single" w:sz="4" w:space="0" w:color="auto"/>
            </w:tcBorders>
          </w:tcPr>
          <w:p w14:paraId="4D5F0CD4"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7BF994"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976D"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1829AF"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t xml:space="preserve">Release 17 UE cannot access </w:t>
            </w:r>
            <w:r w:rsidRPr="000E6CE9">
              <w:rPr>
                <w:rFonts w:ascii="Arial" w:hAnsi="Arial" w:cs="Arial"/>
                <w:strike/>
                <w:color w:val="FF0000"/>
                <w:sz w:val="18"/>
                <w:szCs w:val="18"/>
              </w:rPr>
              <w:t>[</w:t>
            </w:r>
            <w:r w:rsidRPr="000E6CE9">
              <w:rPr>
                <w:rFonts w:ascii="Arial" w:hAnsi="Arial" w:cs="Arial"/>
                <w:color w:val="000000"/>
                <w:sz w:val="18"/>
                <w:szCs w:val="18"/>
              </w:rPr>
              <w:t>NTN</w:t>
            </w:r>
            <w:r w:rsidRPr="000E6CE9">
              <w:rPr>
                <w:rFonts w:ascii="Arial" w:hAnsi="Arial" w:cs="Arial"/>
                <w:strike/>
                <w:color w:val="FF0000"/>
                <w:sz w:val="18"/>
                <w:szCs w:val="18"/>
              </w:rPr>
              <w:t>/satellite]</w:t>
            </w:r>
          </w:p>
        </w:tc>
        <w:tc>
          <w:tcPr>
            <w:tcW w:w="0" w:type="auto"/>
            <w:tcBorders>
              <w:top w:val="single" w:sz="4" w:space="0" w:color="auto"/>
              <w:left w:val="single" w:sz="4" w:space="0" w:color="auto"/>
              <w:bottom w:val="single" w:sz="4" w:space="0" w:color="auto"/>
              <w:right w:val="single" w:sz="4" w:space="0" w:color="auto"/>
            </w:tcBorders>
          </w:tcPr>
          <w:p w14:paraId="1D03E66F"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strike/>
                <w:color w:val="FF0000"/>
                <w:sz w:val="18"/>
                <w:szCs w:val="18"/>
                <w:lang w:eastAsia="ja-JP"/>
              </w:rPr>
              <w:t>[per UE/</w:t>
            </w:r>
            <w:r w:rsidRPr="000E6CE9">
              <w:rPr>
                <w:rFonts w:ascii="Arial" w:hAnsi="Arial" w:cs="Arial"/>
                <w:color w:val="000000"/>
                <w:sz w:val="18"/>
                <w:szCs w:val="18"/>
                <w:lang w:eastAsia="ja-JP"/>
              </w:rPr>
              <w:t>per band</w:t>
            </w:r>
            <w:r w:rsidRPr="000E6CE9">
              <w:rPr>
                <w:rFonts w:ascii="Arial" w:hAnsi="Arial"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9ABEB38"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36B9458"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126B502" w14:textId="6DCBEDC2" w:rsid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FFS: whether this feature group needs to be separate for eMTC and NB-IoT</w:t>
            </w:r>
          </w:p>
          <w:p w14:paraId="4F36B11B" w14:textId="77777777" w:rsidR="00BD568C" w:rsidRPr="00C04FBD" w:rsidRDefault="00BD568C" w:rsidP="000E6CE9">
            <w:pPr>
              <w:keepNext/>
              <w:keepLines/>
              <w:overflowPunct/>
              <w:autoSpaceDE/>
              <w:autoSpaceDN/>
              <w:adjustRightInd/>
              <w:spacing w:after="0"/>
              <w:textAlignment w:val="auto"/>
              <w:rPr>
                <w:rFonts w:ascii="Arial" w:hAnsi="Arial" w:cs="Arial"/>
                <w:color w:val="FF0000"/>
                <w:sz w:val="18"/>
                <w:szCs w:val="18"/>
              </w:rPr>
            </w:pPr>
          </w:p>
          <w:p w14:paraId="436D11D4" w14:textId="185D2415" w:rsidR="00BD568C" w:rsidRPr="000E6CE9" w:rsidRDefault="00BD568C" w:rsidP="000E6CE9">
            <w:pPr>
              <w:keepNext/>
              <w:keepLines/>
              <w:overflowPunct/>
              <w:autoSpaceDE/>
              <w:autoSpaceDN/>
              <w:adjustRightInd/>
              <w:spacing w:after="0"/>
              <w:textAlignment w:val="auto"/>
              <w:rPr>
                <w:rFonts w:ascii="Arial" w:hAnsi="Arial" w:cs="Arial"/>
                <w:color w:val="FF0000"/>
                <w:sz w:val="18"/>
                <w:szCs w:val="18"/>
              </w:rPr>
            </w:pPr>
            <w:r w:rsidRPr="00C04FBD">
              <w:rPr>
                <w:rFonts w:ascii="Arial" w:hAnsi="Arial" w:cs="Arial"/>
                <w:color w:val="FF0000"/>
                <w:sz w:val="18"/>
                <w:szCs w:val="18"/>
              </w:rPr>
              <w:t xml:space="preserve">Separate </w:t>
            </w:r>
            <w:r w:rsidR="00C04FBD" w:rsidRPr="00C04FBD">
              <w:rPr>
                <w:rFonts w:ascii="Arial" w:hAnsi="Arial" w:cs="Arial"/>
                <w:color w:val="FF0000"/>
                <w:sz w:val="18"/>
                <w:szCs w:val="18"/>
              </w:rPr>
              <w:t>signalling</w:t>
            </w:r>
            <w:r w:rsidRPr="00C04FBD">
              <w:rPr>
                <w:rFonts w:ascii="Arial" w:hAnsi="Arial" w:cs="Arial"/>
                <w:color w:val="FF0000"/>
                <w:sz w:val="18"/>
                <w:szCs w:val="18"/>
              </w:rPr>
              <w:t xml:space="preserve"> </w:t>
            </w:r>
            <w:r w:rsidR="00C04FBD" w:rsidRPr="00C04FBD">
              <w:rPr>
                <w:rFonts w:ascii="Arial" w:hAnsi="Arial" w:cs="Arial"/>
                <w:color w:val="FF0000"/>
                <w:sz w:val="18"/>
                <w:szCs w:val="18"/>
              </w:rPr>
              <w:t>for eMTC and NB-IoT</w:t>
            </w:r>
          </w:p>
          <w:p w14:paraId="64FADAAD"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A40D98"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Optional with capability signalling</w:t>
            </w:r>
          </w:p>
          <w:p w14:paraId="5EAA458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p w14:paraId="453A268E"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For UEs supporting NB-IoT/eMTC NTN, it must indicate this FG is supported</w:t>
            </w:r>
          </w:p>
          <w:p w14:paraId="62E5FF9C"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p w14:paraId="2C8BDE56"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strike/>
                <w:color w:val="FF0000"/>
                <w:sz w:val="18"/>
                <w:szCs w:val="18"/>
              </w:rPr>
              <w:t>[</w:t>
            </w:r>
            <w:r w:rsidRPr="000E6CE9">
              <w:rPr>
                <w:rFonts w:ascii="Arial" w:hAnsi="Arial" w:cs="Arial"/>
                <w:color w:val="000000"/>
                <w:sz w:val="18"/>
                <w:szCs w:val="18"/>
              </w:rPr>
              <w:t>Note: This UE feature group is applicable only for IoT-NTN cell, for terrestrial cell this feature is not supported</w:t>
            </w:r>
            <w:r w:rsidRPr="000E6CE9">
              <w:rPr>
                <w:rFonts w:ascii="Arial" w:hAnsi="Arial" w:cs="Arial"/>
                <w:strike/>
                <w:color w:val="FF0000"/>
                <w:sz w:val="18"/>
                <w:szCs w:val="18"/>
              </w:rPr>
              <w:t>]</w:t>
            </w:r>
          </w:p>
        </w:tc>
      </w:tr>
      <w:tr w:rsidR="000E6CE9" w:rsidRPr="000E6CE9" w14:paraId="0DF0081E" w14:textId="77777777" w:rsidTr="00DD3941">
        <w:tc>
          <w:tcPr>
            <w:tcW w:w="0" w:type="auto"/>
            <w:tcBorders>
              <w:top w:val="single" w:sz="4" w:space="0" w:color="auto"/>
              <w:left w:val="single" w:sz="4" w:space="0" w:color="auto"/>
              <w:bottom w:val="single" w:sz="4" w:space="0" w:color="auto"/>
              <w:right w:val="single" w:sz="4" w:space="0" w:color="auto"/>
            </w:tcBorders>
          </w:tcPr>
          <w:p w14:paraId="22F2BC8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2. LTE_NBIOT_eMTC_NTN</w:t>
            </w:r>
          </w:p>
        </w:tc>
        <w:tc>
          <w:tcPr>
            <w:tcW w:w="0" w:type="auto"/>
            <w:tcBorders>
              <w:top w:val="single" w:sz="4" w:space="0" w:color="auto"/>
              <w:left w:val="single" w:sz="4" w:space="0" w:color="auto"/>
              <w:bottom w:val="single" w:sz="4" w:space="0" w:color="auto"/>
              <w:right w:val="single" w:sz="4" w:space="0" w:color="auto"/>
            </w:tcBorders>
          </w:tcPr>
          <w:p w14:paraId="55375963"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2-1a</w:t>
            </w:r>
          </w:p>
        </w:tc>
        <w:tc>
          <w:tcPr>
            <w:tcW w:w="0" w:type="auto"/>
            <w:tcBorders>
              <w:top w:val="single" w:sz="4" w:space="0" w:color="auto"/>
              <w:left w:val="single" w:sz="4" w:space="0" w:color="auto"/>
              <w:bottom w:val="single" w:sz="4" w:space="0" w:color="auto"/>
              <w:right w:val="single" w:sz="4" w:space="0" w:color="auto"/>
            </w:tcBorders>
          </w:tcPr>
          <w:p w14:paraId="476D1CB5"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Segment duration configuration</w:t>
            </w:r>
          </w:p>
        </w:tc>
        <w:tc>
          <w:tcPr>
            <w:tcW w:w="0" w:type="auto"/>
            <w:tcBorders>
              <w:top w:val="single" w:sz="4" w:space="0" w:color="auto"/>
              <w:left w:val="single" w:sz="4" w:space="0" w:color="auto"/>
              <w:bottom w:val="single" w:sz="4" w:space="0" w:color="auto"/>
              <w:right w:val="single" w:sz="4" w:space="0" w:color="auto"/>
            </w:tcBorders>
          </w:tcPr>
          <w:p w14:paraId="3FF31B41"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 xml:space="preserve">Support segment 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6C695BBC"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0F1344F"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7BA9"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44EEBD"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 xml:space="preserve">Release 17 UE cannot access </w:t>
            </w:r>
            <w:r w:rsidRPr="000E6CE9">
              <w:rPr>
                <w:rFonts w:ascii="Arial" w:hAnsi="Arial" w:cs="Arial"/>
                <w:strike/>
                <w:color w:val="FF0000"/>
                <w:sz w:val="18"/>
                <w:szCs w:val="18"/>
              </w:rPr>
              <w:t>[</w:t>
            </w:r>
            <w:r w:rsidRPr="000E6CE9">
              <w:rPr>
                <w:rFonts w:ascii="Arial" w:hAnsi="Arial" w:cs="Arial"/>
                <w:color w:val="000000"/>
                <w:sz w:val="18"/>
                <w:szCs w:val="18"/>
              </w:rPr>
              <w:t>NTN</w:t>
            </w:r>
            <w:r w:rsidRPr="000E6CE9">
              <w:rPr>
                <w:rFonts w:ascii="Arial" w:hAnsi="Arial" w:cs="Arial"/>
                <w:strike/>
                <w:color w:val="FF0000"/>
                <w:sz w:val="18"/>
                <w:szCs w:val="18"/>
              </w:rPr>
              <w:t>/satellite]</w:t>
            </w:r>
          </w:p>
        </w:tc>
        <w:tc>
          <w:tcPr>
            <w:tcW w:w="0" w:type="auto"/>
            <w:tcBorders>
              <w:top w:val="single" w:sz="4" w:space="0" w:color="auto"/>
              <w:left w:val="single" w:sz="4" w:space="0" w:color="auto"/>
              <w:bottom w:val="single" w:sz="4" w:space="0" w:color="auto"/>
              <w:right w:val="single" w:sz="4" w:space="0" w:color="auto"/>
            </w:tcBorders>
          </w:tcPr>
          <w:p w14:paraId="2D87BB8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strike/>
                <w:color w:val="FF0000"/>
                <w:sz w:val="18"/>
                <w:szCs w:val="18"/>
              </w:rPr>
              <w:t>[Per UE/</w:t>
            </w:r>
            <w:r w:rsidRPr="000E6CE9">
              <w:rPr>
                <w:rFonts w:ascii="Arial" w:hAnsi="Arial" w:cs="Arial"/>
                <w:color w:val="000000"/>
                <w:sz w:val="18"/>
                <w:szCs w:val="18"/>
              </w:rPr>
              <w:t>per band</w:t>
            </w:r>
            <w:r w:rsidRPr="000E6CE9">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B31EEFA"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5A9CAD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709BB6D" w14:textId="77777777" w:rsidR="000E6CE9" w:rsidRDefault="000E6CE9" w:rsidP="000E6CE9">
            <w:pPr>
              <w:keepNext/>
              <w:keepLines/>
              <w:overflowPunct/>
              <w:autoSpaceDE/>
              <w:autoSpaceDN/>
              <w:adjustRightInd/>
              <w:spacing w:after="0"/>
              <w:textAlignment w:val="auto"/>
              <w:rPr>
                <w:rFonts w:ascii="Arial" w:hAnsi="Arial" w:cs="Arial"/>
                <w:color w:val="000000"/>
                <w:sz w:val="18"/>
                <w:szCs w:val="18"/>
                <w:lang w:eastAsia="zh-CN"/>
              </w:rPr>
            </w:pPr>
            <w:r w:rsidRPr="000E6CE9">
              <w:rPr>
                <w:rFonts w:ascii="Arial" w:hAnsi="Arial" w:cs="Arial"/>
                <w:color w:val="000000"/>
                <w:sz w:val="18"/>
                <w:szCs w:val="18"/>
                <w:lang w:eastAsia="zh-CN"/>
              </w:rPr>
              <w:t>For UEs support NSGO scenarios, it must indicate this FG is supported.</w:t>
            </w:r>
          </w:p>
          <w:p w14:paraId="22B273E4" w14:textId="77777777" w:rsidR="00031090" w:rsidRDefault="00031090" w:rsidP="000E6CE9">
            <w:pPr>
              <w:keepNext/>
              <w:keepLines/>
              <w:overflowPunct/>
              <w:autoSpaceDE/>
              <w:autoSpaceDN/>
              <w:adjustRightInd/>
              <w:spacing w:after="0"/>
              <w:textAlignment w:val="auto"/>
              <w:rPr>
                <w:rFonts w:ascii="Arial" w:hAnsi="Arial" w:cs="Arial"/>
                <w:color w:val="000000"/>
                <w:sz w:val="18"/>
                <w:szCs w:val="18"/>
              </w:rPr>
            </w:pPr>
          </w:p>
          <w:p w14:paraId="6DD80BD2" w14:textId="286147AA" w:rsidR="00031090" w:rsidRPr="000E6CE9" w:rsidRDefault="00AE156A" w:rsidP="000E6CE9">
            <w:pPr>
              <w:keepNext/>
              <w:keepLines/>
              <w:overflowPunct/>
              <w:autoSpaceDE/>
              <w:autoSpaceDN/>
              <w:adjustRightInd/>
              <w:spacing w:after="0"/>
              <w:textAlignment w:val="auto"/>
              <w:rPr>
                <w:rFonts w:ascii="Arial" w:hAnsi="Arial" w:cs="Arial"/>
                <w:color w:val="FF0000"/>
                <w:sz w:val="18"/>
                <w:szCs w:val="18"/>
              </w:rPr>
            </w:pPr>
            <w:r w:rsidRPr="00C04FBD">
              <w:rPr>
                <w:rFonts w:ascii="Arial" w:hAnsi="Arial" w:cs="Arial"/>
                <w:color w:val="FF0000"/>
                <w:sz w:val="18"/>
                <w:szCs w:val="18"/>
              </w:rPr>
              <w:t>Separate signalling for eMTC and NB-IoT</w:t>
            </w:r>
          </w:p>
        </w:tc>
        <w:tc>
          <w:tcPr>
            <w:tcW w:w="0" w:type="auto"/>
            <w:tcBorders>
              <w:top w:val="single" w:sz="4" w:space="0" w:color="auto"/>
              <w:left w:val="single" w:sz="4" w:space="0" w:color="auto"/>
              <w:bottom w:val="single" w:sz="4" w:space="0" w:color="auto"/>
              <w:right w:val="single" w:sz="4" w:space="0" w:color="auto"/>
            </w:tcBorders>
          </w:tcPr>
          <w:p w14:paraId="144A7672"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Optional with capability signalling</w:t>
            </w:r>
          </w:p>
          <w:p w14:paraId="07AEB056"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p w14:paraId="53AF7A34"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strike/>
                <w:color w:val="FF0000"/>
                <w:sz w:val="18"/>
                <w:szCs w:val="18"/>
              </w:rPr>
              <w:t>[</w:t>
            </w:r>
            <w:r w:rsidRPr="000E6CE9">
              <w:rPr>
                <w:rFonts w:ascii="Arial" w:hAnsi="Arial" w:cs="Arial"/>
                <w:color w:val="000000"/>
                <w:sz w:val="18"/>
                <w:szCs w:val="18"/>
              </w:rPr>
              <w:t>Note: This UE feature group is applicable only for IoT-NTN cell, for terrestrial cell this feature is not supported</w:t>
            </w:r>
            <w:r w:rsidRPr="000E6CE9">
              <w:rPr>
                <w:rFonts w:ascii="Arial" w:hAnsi="Arial" w:cs="Arial"/>
                <w:strike/>
                <w:color w:val="FF0000"/>
                <w:sz w:val="18"/>
                <w:szCs w:val="18"/>
              </w:rPr>
              <w:t>]</w:t>
            </w:r>
          </w:p>
        </w:tc>
      </w:tr>
      <w:tr w:rsidR="000E6CE9" w:rsidRPr="000E6CE9" w14:paraId="719455A4" w14:textId="77777777" w:rsidTr="00DD3941">
        <w:tc>
          <w:tcPr>
            <w:tcW w:w="0" w:type="auto"/>
            <w:tcBorders>
              <w:top w:val="single" w:sz="4" w:space="0" w:color="auto"/>
              <w:left w:val="single" w:sz="4" w:space="0" w:color="auto"/>
              <w:bottom w:val="single" w:sz="4" w:space="0" w:color="auto"/>
              <w:right w:val="single" w:sz="4" w:space="0" w:color="auto"/>
            </w:tcBorders>
          </w:tcPr>
          <w:p w14:paraId="4C74179A"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2. LTE_NBIOT_eMTC_NTN</w:t>
            </w:r>
          </w:p>
        </w:tc>
        <w:tc>
          <w:tcPr>
            <w:tcW w:w="0" w:type="auto"/>
            <w:tcBorders>
              <w:top w:val="single" w:sz="4" w:space="0" w:color="auto"/>
              <w:left w:val="single" w:sz="4" w:space="0" w:color="auto"/>
              <w:bottom w:val="single" w:sz="4" w:space="0" w:color="auto"/>
              <w:right w:val="single" w:sz="4" w:space="0" w:color="auto"/>
            </w:tcBorders>
          </w:tcPr>
          <w:p w14:paraId="1CBA4B56"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31E8D44C"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Enhancing timing relationships using a time offset</w:t>
            </w:r>
          </w:p>
        </w:tc>
        <w:tc>
          <w:tcPr>
            <w:tcW w:w="0" w:type="auto"/>
            <w:tcBorders>
              <w:top w:val="single" w:sz="4" w:space="0" w:color="auto"/>
              <w:left w:val="single" w:sz="4" w:space="0" w:color="auto"/>
              <w:bottom w:val="single" w:sz="4" w:space="0" w:color="auto"/>
              <w:right w:val="single" w:sz="4" w:space="0" w:color="auto"/>
            </w:tcBorders>
          </w:tcPr>
          <w:p w14:paraId="4C2527F9" w14:textId="77777777" w:rsidR="000E6CE9" w:rsidRPr="000E6CE9" w:rsidRDefault="000E6CE9" w:rsidP="000E6CE9">
            <w:pPr>
              <w:numPr>
                <w:ilvl w:val="0"/>
                <w:numId w:val="25"/>
              </w:numPr>
              <w:overflowPunct/>
              <w:autoSpaceDE/>
              <w:autoSpaceDN/>
              <w:adjustRightInd/>
              <w:spacing w:afterLines="50" w:after="120"/>
              <w:contextualSpacing/>
              <w:textAlignment w:val="auto"/>
              <w:rPr>
                <w:rFonts w:ascii="Arial" w:hAnsi="Arial" w:cs="Arial"/>
                <w:color w:val="000000"/>
                <w:sz w:val="18"/>
                <w:szCs w:val="18"/>
              </w:rPr>
            </w:pPr>
            <w:r w:rsidRPr="000E6CE9">
              <w:rPr>
                <w:rFonts w:ascii="Arial" w:hAnsi="Arial" w:cs="Arial"/>
                <w:color w:val="000000"/>
                <w:sz w:val="18"/>
                <w:szCs w:val="18"/>
              </w:rPr>
              <w:t>UE applies UE specific K_offset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487B566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2-1 [, 2-3]</w:t>
            </w:r>
          </w:p>
        </w:tc>
        <w:tc>
          <w:tcPr>
            <w:tcW w:w="0" w:type="auto"/>
            <w:tcBorders>
              <w:top w:val="single" w:sz="4" w:space="0" w:color="auto"/>
              <w:left w:val="single" w:sz="4" w:space="0" w:color="auto"/>
              <w:bottom w:val="single" w:sz="4" w:space="0" w:color="auto"/>
              <w:right w:val="single" w:sz="4" w:space="0" w:color="auto"/>
            </w:tcBorders>
          </w:tcPr>
          <w:p w14:paraId="3EAF345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D5E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5F921"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3F432448"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strike/>
                <w:color w:val="FF0000"/>
                <w:sz w:val="18"/>
                <w:szCs w:val="18"/>
                <w:lang w:eastAsia="ja-JP"/>
              </w:rPr>
              <w:t>[per UE/</w:t>
            </w:r>
            <w:r w:rsidRPr="000E6CE9">
              <w:rPr>
                <w:rFonts w:ascii="Arial" w:hAnsi="Arial" w:cs="Arial"/>
                <w:color w:val="000000"/>
                <w:sz w:val="18"/>
                <w:szCs w:val="18"/>
                <w:lang w:eastAsia="ja-JP"/>
              </w:rPr>
              <w:t>per band</w:t>
            </w:r>
            <w:r w:rsidRPr="000E6CE9">
              <w:rPr>
                <w:rFonts w:ascii="Arial" w:hAnsi="Arial"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DD3A7F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BDF5EFD"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34BC27D"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 xml:space="preserve">The K_offset is a scheduling offset used for the identified timing relationships that need to be modified for IoT NTN. </w:t>
            </w:r>
          </w:p>
          <w:p w14:paraId="5C710030"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For IoT NTN, support cell-specific Koffset configuration for use during initial access.</w:t>
            </w:r>
          </w:p>
          <w:p w14:paraId="762115EA"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For IoT NTN, support the use of UE-specific Koffset in CONNECTED mode.</w:t>
            </w:r>
          </w:p>
          <w:p w14:paraId="6E52A219"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p w14:paraId="73218F17" w14:textId="77777777" w:rsidR="000E6CE9" w:rsidRP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FFS: whether this feature group needs to be separate for eMTC and NB-IoT</w:t>
            </w:r>
          </w:p>
          <w:p w14:paraId="697B68DA" w14:textId="77777777" w:rsidR="000E6CE9" w:rsidRPr="000E6CE9" w:rsidRDefault="000E6CE9" w:rsidP="000E6CE9">
            <w:pPr>
              <w:keepNext/>
              <w:keepLines/>
              <w:overflowPunct/>
              <w:autoSpaceDE/>
              <w:autoSpaceDN/>
              <w:adjustRightInd/>
              <w:spacing w:after="0"/>
              <w:textAlignment w:val="auto"/>
              <w:rPr>
                <w:rFonts w:ascii="Arial" w:hAnsi="Arial" w:cs="Arial"/>
                <w:strike/>
                <w:color w:val="FF0000"/>
                <w:sz w:val="18"/>
                <w:szCs w:val="18"/>
              </w:rPr>
            </w:pPr>
          </w:p>
          <w:p w14:paraId="3C096B31" w14:textId="77777777" w:rsid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FFS: differentiation based on orbits such as LEO/MEO/GEO</w:t>
            </w:r>
          </w:p>
          <w:p w14:paraId="5E405879" w14:textId="77777777" w:rsidR="00EB5513" w:rsidRDefault="00EB5513" w:rsidP="000E6CE9">
            <w:pPr>
              <w:keepNext/>
              <w:keepLines/>
              <w:overflowPunct/>
              <w:autoSpaceDE/>
              <w:autoSpaceDN/>
              <w:adjustRightInd/>
              <w:spacing w:after="0"/>
              <w:textAlignment w:val="auto"/>
              <w:rPr>
                <w:rFonts w:ascii="Arial" w:hAnsi="Arial" w:cs="Arial"/>
                <w:strike/>
                <w:color w:val="FF0000"/>
                <w:sz w:val="18"/>
                <w:szCs w:val="18"/>
              </w:rPr>
            </w:pPr>
          </w:p>
          <w:p w14:paraId="3E726B02" w14:textId="6BBF72C0" w:rsidR="00EB5513" w:rsidRPr="000E6CE9" w:rsidRDefault="00EB5513" w:rsidP="000E6CE9">
            <w:pPr>
              <w:keepNext/>
              <w:keepLines/>
              <w:overflowPunct/>
              <w:autoSpaceDE/>
              <w:autoSpaceDN/>
              <w:adjustRightInd/>
              <w:spacing w:after="0"/>
              <w:textAlignment w:val="auto"/>
              <w:rPr>
                <w:rFonts w:ascii="Arial" w:hAnsi="Arial" w:cs="Arial"/>
                <w:color w:val="FF0000"/>
                <w:sz w:val="18"/>
                <w:szCs w:val="18"/>
              </w:rPr>
            </w:pPr>
            <w:r w:rsidRPr="00C04FBD">
              <w:rPr>
                <w:rFonts w:ascii="Arial" w:hAnsi="Arial" w:cs="Arial"/>
                <w:color w:val="FF0000"/>
                <w:sz w:val="18"/>
                <w:szCs w:val="18"/>
              </w:rPr>
              <w:t>Separate signalling for eMTC and NB-IoT</w:t>
            </w:r>
          </w:p>
        </w:tc>
        <w:tc>
          <w:tcPr>
            <w:tcW w:w="0" w:type="auto"/>
            <w:tcBorders>
              <w:top w:val="single" w:sz="4" w:space="0" w:color="auto"/>
              <w:left w:val="single" w:sz="4" w:space="0" w:color="auto"/>
              <w:bottom w:val="single" w:sz="4" w:space="0" w:color="auto"/>
              <w:right w:val="single" w:sz="4" w:space="0" w:color="auto"/>
            </w:tcBorders>
          </w:tcPr>
          <w:p w14:paraId="467FF036"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Optional with capability signalling</w:t>
            </w:r>
          </w:p>
          <w:p w14:paraId="352F2235"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p>
          <w:p w14:paraId="6C4015E1" w14:textId="77777777" w:rsidR="000E6CE9" w:rsidRPr="000E6CE9" w:rsidRDefault="000E6CE9" w:rsidP="000E6CE9">
            <w:pPr>
              <w:keepNext/>
              <w:keepLines/>
              <w:overflowPunct/>
              <w:autoSpaceDE/>
              <w:autoSpaceDN/>
              <w:adjustRightInd/>
              <w:spacing w:after="0"/>
              <w:textAlignment w:val="auto"/>
              <w:rPr>
                <w:rFonts w:ascii="Arial" w:hAnsi="Arial" w:cs="Arial"/>
                <w:strike/>
                <w:color w:val="000000"/>
                <w:sz w:val="18"/>
                <w:szCs w:val="18"/>
                <w:lang w:eastAsia="ja-JP"/>
              </w:rPr>
            </w:pPr>
            <w:r w:rsidRPr="000E6CE9">
              <w:rPr>
                <w:rFonts w:ascii="Arial" w:hAnsi="Arial" w:cs="Arial"/>
                <w:strike/>
                <w:color w:val="FF0000"/>
                <w:sz w:val="18"/>
                <w:szCs w:val="18"/>
                <w:lang w:eastAsia="ja-JP"/>
              </w:rPr>
              <w:t>FFS:</w:t>
            </w:r>
            <w:r w:rsidRPr="000E6CE9">
              <w:rPr>
                <w:rFonts w:ascii="Arial" w:hAnsi="Arial" w:cs="Arial"/>
                <w:color w:val="000000" w:themeColor="text1"/>
                <w:sz w:val="18"/>
                <w:szCs w:val="18"/>
                <w:lang w:eastAsia="ja-JP"/>
              </w:rPr>
              <w:t xml:space="preserve"> For UEs supporting NB-IoT/eMTC NTN, it must indicate this FG is supported</w:t>
            </w:r>
          </w:p>
        </w:tc>
      </w:tr>
      <w:tr w:rsidR="000E6CE9" w:rsidRPr="000E6CE9" w14:paraId="67A373C0" w14:textId="77777777" w:rsidTr="00DD3941">
        <w:tc>
          <w:tcPr>
            <w:tcW w:w="0" w:type="auto"/>
            <w:tcBorders>
              <w:top w:val="single" w:sz="4" w:space="0" w:color="auto"/>
              <w:left w:val="single" w:sz="4" w:space="0" w:color="auto"/>
              <w:bottom w:val="single" w:sz="4" w:space="0" w:color="auto"/>
              <w:right w:val="single" w:sz="4" w:space="0" w:color="auto"/>
            </w:tcBorders>
            <w:shd w:val="clear" w:color="auto" w:fill="auto"/>
          </w:tcPr>
          <w:p w14:paraId="62A66CFC"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lastRenderedPageBreak/>
              <w:t>2. LTE_NBIOT_eMTC_NTN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FBD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C125"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UE specific TA pre-compensation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F17D" w14:textId="77777777" w:rsidR="000E6CE9" w:rsidRPr="00BE0FC3" w:rsidRDefault="000E6CE9" w:rsidP="000E6CE9">
            <w:pPr>
              <w:numPr>
                <w:ilvl w:val="0"/>
                <w:numId w:val="26"/>
              </w:numPr>
              <w:overflowPunct/>
              <w:autoSpaceDE/>
              <w:autoSpaceDN/>
              <w:adjustRightInd/>
              <w:spacing w:after="0"/>
              <w:contextualSpacing/>
              <w:textAlignment w:val="auto"/>
              <w:rPr>
                <w:rFonts w:ascii="Arial" w:hAnsi="Arial" w:cs="Arial"/>
                <w:color w:val="000000"/>
                <w:sz w:val="18"/>
                <w:szCs w:val="18"/>
              </w:rPr>
            </w:pPr>
            <w:r w:rsidRPr="000E6CE9">
              <w:rPr>
                <w:rFonts w:ascii="Arial" w:hAnsi="Arial" w:cs="Arial"/>
                <w:strike/>
                <w:color w:val="FF0000"/>
                <w:sz w:val="18"/>
                <w:szCs w:val="18"/>
              </w:rPr>
              <w:t>[</w:t>
            </w:r>
            <w:r w:rsidRPr="000E6CE9">
              <w:rPr>
                <w:rFonts w:ascii="Arial" w:hAnsi="Arial" w:cs="Arial"/>
                <w:color w:val="000000"/>
                <w:sz w:val="18"/>
                <w:szCs w:val="18"/>
              </w:rPr>
              <w:t>Support reporting of information about the UE specific TA pre-compensation</w:t>
            </w:r>
            <w:r w:rsidRPr="000E6CE9">
              <w:rPr>
                <w:rFonts w:ascii="Arial" w:hAnsi="Arial" w:cs="Arial"/>
                <w:strike/>
                <w:color w:val="FF0000"/>
                <w:sz w:val="18"/>
                <w:szCs w:val="18"/>
              </w:rPr>
              <w:t>]</w:t>
            </w:r>
          </w:p>
          <w:p w14:paraId="06C79850" w14:textId="71BB1120" w:rsidR="00BE0FC3" w:rsidRPr="000E6CE9" w:rsidRDefault="00400B2B" w:rsidP="00BE0FC3">
            <w:pPr>
              <w:numPr>
                <w:ilvl w:val="1"/>
                <w:numId w:val="32"/>
              </w:numPr>
              <w:overflowPunct/>
              <w:autoSpaceDE/>
              <w:autoSpaceDN/>
              <w:adjustRightInd/>
              <w:spacing w:after="0"/>
              <w:ind w:left="821"/>
              <w:contextualSpacing/>
              <w:textAlignment w:val="auto"/>
              <w:rPr>
                <w:rFonts w:ascii="Arial" w:hAnsi="Arial" w:cs="Arial"/>
                <w:color w:val="000000"/>
                <w:sz w:val="18"/>
                <w:szCs w:val="18"/>
              </w:rPr>
            </w:pPr>
            <w:r w:rsidRPr="00400B2B">
              <w:rPr>
                <w:rFonts w:ascii="Arial" w:hAnsi="Arial" w:cs="Arial"/>
                <w:color w:val="FF0000"/>
                <w:sz w:val="18"/>
                <w:szCs w:val="18"/>
              </w:rPr>
              <w:t xml:space="preserve">The UE capability signalling for </w:t>
            </w:r>
            <w:r>
              <w:rPr>
                <w:rFonts w:ascii="Arial" w:hAnsi="Arial" w:cs="Arial"/>
                <w:color w:val="FF0000"/>
                <w:sz w:val="18"/>
                <w:szCs w:val="18"/>
              </w:rPr>
              <w:t>t</w:t>
            </w:r>
            <w:r w:rsidRPr="00400B2B">
              <w:rPr>
                <w:rFonts w:ascii="Arial" w:hAnsi="Arial" w:cs="Arial"/>
                <w:color w:val="FF0000"/>
                <w:sz w:val="18"/>
                <w:szCs w:val="18"/>
              </w:rPr>
              <w:t>he exact content of UE reporting of information about the UE specific TA pre-compensation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AEFE2"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7B22"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8C83"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4A2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UL scheduling for FDD-HD: Use of UE-specific TA and/or K_offset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1F86"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strike/>
                <w:color w:val="FF0000"/>
                <w:sz w:val="18"/>
                <w:szCs w:val="18"/>
                <w:lang w:eastAsia="ja-JP"/>
              </w:rPr>
              <w:t>[per UE/</w:t>
            </w:r>
            <w:r w:rsidRPr="000E6CE9">
              <w:rPr>
                <w:rFonts w:ascii="Arial" w:hAnsi="Arial" w:cs="Arial"/>
                <w:color w:val="000000"/>
                <w:sz w:val="18"/>
                <w:szCs w:val="18"/>
                <w:lang w:eastAsia="ja-JP"/>
              </w:rPr>
              <w:t>per band</w:t>
            </w:r>
            <w:r w:rsidRPr="000E6CE9">
              <w:rPr>
                <w:rFonts w:ascii="Arial" w:hAnsi="Arial"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3199"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6CDC"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0931"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UE-specific TA reporting is supported in IoT-NTN</w:t>
            </w:r>
          </w:p>
          <w:p w14:paraId="10C56B6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r w:rsidRPr="000E6CE9">
              <w:rPr>
                <w:rFonts w:ascii="Arial" w:hAnsi="Arial" w:cs="Arial"/>
                <w:color w:val="000000"/>
                <w:sz w:val="18"/>
                <w:szCs w:val="18"/>
              </w:rPr>
              <w:t>FFS: Detailed contents of report</w:t>
            </w:r>
          </w:p>
          <w:p w14:paraId="00B616A7"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rPr>
            </w:pPr>
          </w:p>
          <w:p w14:paraId="648FBC0A" w14:textId="77777777" w:rsidR="000E6CE9" w:rsidRP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FFS: whether this feature group needs to be separate for eMTC and NB-IoT</w:t>
            </w:r>
          </w:p>
          <w:p w14:paraId="792DAE63" w14:textId="77777777" w:rsidR="000E6CE9" w:rsidRPr="000E6CE9" w:rsidRDefault="000E6CE9" w:rsidP="000E6CE9">
            <w:pPr>
              <w:keepNext/>
              <w:keepLines/>
              <w:overflowPunct/>
              <w:autoSpaceDE/>
              <w:autoSpaceDN/>
              <w:adjustRightInd/>
              <w:spacing w:after="0"/>
              <w:textAlignment w:val="auto"/>
              <w:rPr>
                <w:rFonts w:ascii="Arial" w:hAnsi="Arial" w:cs="Arial"/>
                <w:strike/>
                <w:color w:val="FF0000"/>
                <w:sz w:val="18"/>
                <w:szCs w:val="18"/>
              </w:rPr>
            </w:pPr>
          </w:p>
          <w:p w14:paraId="5B6DEBC4" w14:textId="77777777" w:rsidR="000E6CE9" w:rsidRDefault="000E6CE9" w:rsidP="000E6CE9">
            <w:pPr>
              <w:keepNext/>
              <w:keepLines/>
              <w:overflowPunct/>
              <w:autoSpaceDE/>
              <w:autoSpaceDN/>
              <w:adjustRightInd/>
              <w:spacing w:after="0"/>
              <w:textAlignment w:val="auto"/>
              <w:rPr>
                <w:rFonts w:ascii="Arial" w:hAnsi="Arial" w:cs="Arial"/>
                <w:strike/>
                <w:color w:val="FF0000"/>
                <w:sz w:val="18"/>
                <w:szCs w:val="18"/>
              </w:rPr>
            </w:pPr>
            <w:r w:rsidRPr="000E6CE9">
              <w:rPr>
                <w:rFonts w:ascii="Arial" w:hAnsi="Arial" w:cs="Arial"/>
                <w:strike/>
                <w:color w:val="FF0000"/>
                <w:sz w:val="18"/>
                <w:szCs w:val="18"/>
              </w:rPr>
              <w:t>FFS: differentiation based on orbits such as LEO/MEO/GEO</w:t>
            </w:r>
          </w:p>
          <w:p w14:paraId="03CA029C" w14:textId="77777777" w:rsidR="00970A5D" w:rsidRDefault="00970A5D" w:rsidP="000E6CE9">
            <w:pPr>
              <w:keepNext/>
              <w:keepLines/>
              <w:overflowPunct/>
              <w:autoSpaceDE/>
              <w:autoSpaceDN/>
              <w:adjustRightInd/>
              <w:spacing w:after="0"/>
              <w:textAlignment w:val="auto"/>
              <w:rPr>
                <w:rFonts w:ascii="Arial" w:hAnsi="Arial" w:cs="Arial"/>
                <w:strike/>
                <w:color w:val="000000"/>
                <w:sz w:val="18"/>
                <w:szCs w:val="18"/>
              </w:rPr>
            </w:pPr>
          </w:p>
          <w:p w14:paraId="688800B3" w14:textId="77D2D377" w:rsidR="00970A5D" w:rsidRPr="000E6CE9" w:rsidRDefault="00970A5D" w:rsidP="000E6CE9">
            <w:pPr>
              <w:keepNext/>
              <w:keepLines/>
              <w:overflowPunct/>
              <w:autoSpaceDE/>
              <w:autoSpaceDN/>
              <w:adjustRightInd/>
              <w:spacing w:after="0"/>
              <w:textAlignment w:val="auto"/>
              <w:rPr>
                <w:rFonts w:ascii="Arial" w:hAnsi="Arial" w:cs="Arial"/>
                <w:color w:val="000000"/>
                <w:sz w:val="18"/>
                <w:szCs w:val="18"/>
              </w:rPr>
            </w:pPr>
            <w:r w:rsidRPr="00C04FBD">
              <w:rPr>
                <w:rFonts w:ascii="Arial" w:hAnsi="Arial" w:cs="Arial"/>
                <w:color w:val="FF0000"/>
                <w:sz w:val="18"/>
                <w:szCs w:val="18"/>
              </w:rPr>
              <w:t>Separate signalling for eMTC and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D33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color w:val="000000"/>
                <w:sz w:val="18"/>
                <w:szCs w:val="18"/>
                <w:lang w:eastAsia="ja-JP"/>
              </w:rPr>
              <w:t>Optional with capability signalling</w:t>
            </w:r>
          </w:p>
          <w:p w14:paraId="5CA7501B"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p>
          <w:p w14:paraId="19B8F533" w14:textId="77777777" w:rsidR="000E6CE9" w:rsidRPr="000E6CE9" w:rsidRDefault="000E6CE9" w:rsidP="000E6CE9">
            <w:pPr>
              <w:keepNext/>
              <w:keepLines/>
              <w:overflowPunct/>
              <w:autoSpaceDE/>
              <w:autoSpaceDN/>
              <w:adjustRightInd/>
              <w:spacing w:after="0"/>
              <w:textAlignment w:val="auto"/>
              <w:rPr>
                <w:rFonts w:ascii="Arial" w:hAnsi="Arial" w:cs="Arial"/>
                <w:color w:val="000000"/>
                <w:sz w:val="18"/>
                <w:szCs w:val="18"/>
                <w:lang w:eastAsia="ja-JP"/>
              </w:rPr>
            </w:pPr>
            <w:r w:rsidRPr="000E6CE9">
              <w:rPr>
                <w:rFonts w:ascii="Arial" w:hAnsi="Arial" w:cs="Arial"/>
                <w:strike/>
                <w:color w:val="FF0000"/>
                <w:sz w:val="18"/>
                <w:szCs w:val="18"/>
                <w:lang w:eastAsia="ja-JP"/>
              </w:rPr>
              <w:t>FFS:</w:t>
            </w:r>
            <w:r w:rsidRPr="000E6CE9">
              <w:rPr>
                <w:rFonts w:ascii="Arial" w:hAnsi="Arial" w:cs="Arial"/>
                <w:color w:val="FF0000"/>
                <w:sz w:val="18"/>
                <w:szCs w:val="18"/>
                <w:lang w:eastAsia="ja-JP"/>
              </w:rPr>
              <w:t xml:space="preserve"> </w:t>
            </w:r>
            <w:r w:rsidRPr="000E6CE9">
              <w:rPr>
                <w:rFonts w:ascii="Arial" w:hAnsi="Arial" w:cs="Arial"/>
                <w:sz w:val="18"/>
                <w:szCs w:val="18"/>
                <w:lang w:eastAsia="ja-JP"/>
              </w:rPr>
              <w:t>For UEs supporting NB-IoT/eMTC NTN, it must indicate this FG is supported</w:t>
            </w:r>
          </w:p>
        </w:tc>
      </w:tr>
    </w:tbl>
    <w:p w14:paraId="02069F4F" w14:textId="531A405D" w:rsidR="008E76C0" w:rsidRPr="000E6CE9" w:rsidRDefault="008E76C0" w:rsidP="008E76C0">
      <w:pPr>
        <w:rPr>
          <w:lang w:eastAsia="zh-CN"/>
        </w:rPr>
      </w:pPr>
    </w:p>
    <w:p w14:paraId="3123FF23" w14:textId="77777777" w:rsidR="008E76C0" w:rsidRPr="008E76C0" w:rsidRDefault="008E76C0" w:rsidP="008E76C0">
      <w:pPr>
        <w:rPr>
          <w:lang w:val="en-US" w:eastAsia="zh-CN"/>
        </w:rPr>
      </w:pPr>
    </w:p>
    <w:p w14:paraId="0F357F3F" w14:textId="77777777" w:rsidR="005755C2" w:rsidRPr="00F63E70" w:rsidRDefault="005755C2" w:rsidP="007C2277">
      <w:pPr>
        <w:rPr>
          <w:sz w:val="22"/>
          <w:szCs w:val="22"/>
          <w:lang w:eastAsia="zh-CN"/>
        </w:rPr>
      </w:pPr>
    </w:p>
    <w:sectPr w:rsidR="005755C2" w:rsidRPr="00F63E70" w:rsidSect="007C2277">
      <w:footnotePr>
        <w:numRestart w:val="eachSect"/>
      </w:footnotePr>
      <w:pgSz w:w="23814" w:h="12242" w:orient="landscape" w:code="1"/>
      <w:pgMar w:top="1077" w:right="850" w:bottom="992" w:left="567"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7850" w14:textId="77777777" w:rsidR="008E51CA" w:rsidRDefault="008E51CA">
      <w:r>
        <w:separator/>
      </w:r>
    </w:p>
  </w:endnote>
  <w:endnote w:type="continuationSeparator" w:id="0">
    <w:p w14:paraId="4833ED4B" w14:textId="77777777" w:rsidR="008E51CA" w:rsidRDefault="008E51CA">
      <w:r>
        <w:continuationSeparator/>
      </w:r>
    </w:p>
  </w:endnote>
  <w:endnote w:type="continuationNotice" w:id="1">
    <w:p w14:paraId="5FC7AFDC" w14:textId="77777777" w:rsidR="008E51CA" w:rsidRDefault="008E5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D48E" w14:textId="77777777" w:rsidR="008E51CA" w:rsidRDefault="008E51CA">
      <w:r>
        <w:separator/>
      </w:r>
    </w:p>
  </w:footnote>
  <w:footnote w:type="continuationSeparator" w:id="0">
    <w:p w14:paraId="0A38A070" w14:textId="77777777" w:rsidR="008E51CA" w:rsidRDefault="008E51CA">
      <w:r>
        <w:continuationSeparator/>
      </w:r>
    </w:p>
  </w:footnote>
  <w:footnote w:type="continuationNotice" w:id="1">
    <w:p w14:paraId="0B1889BD" w14:textId="77777777" w:rsidR="008E51CA" w:rsidRDefault="008E5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7E4B89"/>
    <w:multiLevelType w:val="hybridMultilevel"/>
    <w:tmpl w:val="FFDC6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0FE56805"/>
    <w:multiLevelType w:val="hybridMultilevel"/>
    <w:tmpl w:val="9D80DCFC"/>
    <w:lvl w:ilvl="0" w:tplc="04090001">
      <w:start w:val="1"/>
      <w:numFmt w:val="bullet"/>
      <w:lvlText w:val=""/>
      <w:lvlJc w:val="left"/>
      <w:pPr>
        <w:ind w:left="360" w:hanging="360"/>
      </w:pPr>
      <w:rPr>
        <w:rFonts w:ascii="Symbol" w:hAnsi="Symbol" w:hint="default"/>
        <w:sz w:val="18"/>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A838D6"/>
    <w:multiLevelType w:val="hybridMultilevel"/>
    <w:tmpl w:val="2BB8823A"/>
    <w:lvl w:ilvl="0" w:tplc="04090001">
      <w:start w:val="1"/>
      <w:numFmt w:val="bullet"/>
      <w:lvlText w:val=""/>
      <w:lvlJc w:val="left"/>
      <w:pPr>
        <w:ind w:left="360" w:hanging="360"/>
      </w:pPr>
      <w:rPr>
        <w:rFonts w:ascii="Symbol" w:hAnsi="Symbol"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6FB12263"/>
    <w:multiLevelType w:val="hybridMultilevel"/>
    <w:tmpl w:val="F6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0"/>
  </w:num>
  <w:num w:numId="2">
    <w:abstractNumId w:val="8"/>
  </w:num>
  <w:num w:numId="3">
    <w:abstractNumId w:val="2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24"/>
  </w:num>
  <w:num w:numId="8">
    <w:abstractNumId w:val="3"/>
  </w:num>
  <w:num w:numId="9">
    <w:abstractNumId w:val="9"/>
  </w:num>
  <w:num w:numId="10">
    <w:abstractNumId w:val="14"/>
  </w:num>
  <w:num w:numId="11">
    <w:abstractNumId w:val="1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4"/>
  </w:num>
  <w:num w:numId="29">
    <w:abstractNumId w:val="26"/>
  </w:num>
  <w:num w:numId="30">
    <w:abstractNumId w:val="18"/>
  </w:num>
  <w:num w:numId="31">
    <w:abstractNumId w:val="1"/>
  </w:num>
  <w:num w:numId="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090"/>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3F7F"/>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484"/>
    <w:rsid w:val="00077579"/>
    <w:rsid w:val="000779F1"/>
    <w:rsid w:val="000805B2"/>
    <w:rsid w:val="00080786"/>
    <w:rsid w:val="00080C20"/>
    <w:rsid w:val="00080D68"/>
    <w:rsid w:val="00080D74"/>
    <w:rsid w:val="000814B2"/>
    <w:rsid w:val="00081534"/>
    <w:rsid w:val="00082152"/>
    <w:rsid w:val="000825BC"/>
    <w:rsid w:val="000826FF"/>
    <w:rsid w:val="00082A49"/>
    <w:rsid w:val="00082C64"/>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6F3"/>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2D"/>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9F5"/>
    <w:rsid w:val="000E4C9B"/>
    <w:rsid w:val="000E4D01"/>
    <w:rsid w:val="000E5830"/>
    <w:rsid w:val="000E5C4E"/>
    <w:rsid w:val="000E633D"/>
    <w:rsid w:val="000E6355"/>
    <w:rsid w:val="000E6426"/>
    <w:rsid w:val="000E65A7"/>
    <w:rsid w:val="000E6635"/>
    <w:rsid w:val="000E6CE9"/>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26"/>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8A"/>
    <w:rsid w:val="00100CA1"/>
    <w:rsid w:val="00100FE2"/>
    <w:rsid w:val="00101489"/>
    <w:rsid w:val="00101513"/>
    <w:rsid w:val="00101A0E"/>
    <w:rsid w:val="00101ACE"/>
    <w:rsid w:val="00102147"/>
    <w:rsid w:val="001021B6"/>
    <w:rsid w:val="00102671"/>
    <w:rsid w:val="00102D2E"/>
    <w:rsid w:val="0010341A"/>
    <w:rsid w:val="00103658"/>
    <w:rsid w:val="0010366C"/>
    <w:rsid w:val="00103952"/>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DBF"/>
    <w:rsid w:val="00110FBF"/>
    <w:rsid w:val="00111134"/>
    <w:rsid w:val="00111169"/>
    <w:rsid w:val="00111241"/>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6B"/>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AA"/>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769"/>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9E6"/>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980"/>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ADD"/>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EC5"/>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29"/>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54"/>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A91"/>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52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29"/>
    <w:rsid w:val="00370A4F"/>
    <w:rsid w:val="00370CFA"/>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CA3"/>
    <w:rsid w:val="00387D1D"/>
    <w:rsid w:val="0039000E"/>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1D1B"/>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763"/>
    <w:rsid w:val="00400B2B"/>
    <w:rsid w:val="004010CF"/>
    <w:rsid w:val="004012B5"/>
    <w:rsid w:val="004012FA"/>
    <w:rsid w:val="004017C6"/>
    <w:rsid w:val="00401907"/>
    <w:rsid w:val="004021C9"/>
    <w:rsid w:val="004024AB"/>
    <w:rsid w:val="00402F2C"/>
    <w:rsid w:val="0040303D"/>
    <w:rsid w:val="0040322B"/>
    <w:rsid w:val="004032B9"/>
    <w:rsid w:val="0040379F"/>
    <w:rsid w:val="00403805"/>
    <w:rsid w:val="00403824"/>
    <w:rsid w:val="00403D29"/>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79"/>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CB8"/>
    <w:rsid w:val="00454F08"/>
    <w:rsid w:val="0045502E"/>
    <w:rsid w:val="00455105"/>
    <w:rsid w:val="004553ED"/>
    <w:rsid w:val="0045584A"/>
    <w:rsid w:val="00455C09"/>
    <w:rsid w:val="00455E8E"/>
    <w:rsid w:val="00456114"/>
    <w:rsid w:val="00456272"/>
    <w:rsid w:val="00456971"/>
    <w:rsid w:val="004569CC"/>
    <w:rsid w:val="00456B9B"/>
    <w:rsid w:val="00456C7A"/>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37B"/>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1DC6"/>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25"/>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C7E12"/>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680"/>
    <w:rsid w:val="004E471C"/>
    <w:rsid w:val="004E47ED"/>
    <w:rsid w:val="004E4E24"/>
    <w:rsid w:val="004E53AE"/>
    <w:rsid w:val="004E5449"/>
    <w:rsid w:val="004E58DD"/>
    <w:rsid w:val="004E5C61"/>
    <w:rsid w:val="004E601D"/>
    <w:rsid w:val="004E6158"/>
    <w:rsid w:val="004E6184"/>
    <w:rsid w:val="004E63C9"/>
    <w:rsid w:val="004E6401"/>
    <w:rsid w:val="004E6B45"/>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5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46E"/>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AAD"/>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5E7D"/>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F72"/>
    <w:rsid w:val="005B0604"/>
    <w:rsid w:val="005B08FF"/>
    <w:rsid w:val="005B139B"/>
    <w:rsid w:val="005B15CE"/>
    <w:rsid w:val="005B1F54"/>
    <w:rsid w:val="005B27E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81"/>
    <w:rsid w:val="005C4A30"/>
    <w:rsid w:val="005C4B4D"/>
    <w:rsid w:val="005C4DE3"/>
    <w:rsid w:val="005C4EA1"/>
    <w:rsid w:val="005C5379"/>
    <w:rsid w:val="005C56B4"/>
    <w:rsid w:val="005C5769"/>
    <w:rsid w:val="005C5849"/>
    <w:rsid w:val="005C590D"/>
    <w:rsid w:val="005C6091"/>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3FB3"/>
    <w:rsid w:val="005E4010"/>
    <w:rsid w:val="005E4377"/>
    <w:rsid w:val="005E48F7"/>
    <w:rsid w:val="005E4F80"/>
    <w:rsid w:val="005E4FBD"/>
    <w:rsid w:val="005E5009"/>
    <w:rsid w:val="005E5486"/>
    <w:rsid w:val="005E5544"/>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9AF"/>
    <w:rsid w:val="00614CB4"/>
    <w:rsid w:val="00614D1E"/>
    <w:rsid w:val="00614D3B"/>
    <w:rsid w:val="0061524B"/>
    <w:rsid w:val="0061565F"/>
    <w:rsid w:val="006157CF"/>
    <w:rsid w:val="00615859"/>
    <w:rsid w:val="00615BDB"/>
    <w:rsid w:val="00615F09"/>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DFD"/>
    <w:rsid w:val="00623E7F"/>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3769"/>
    <w:rsid w:val="006437A9"/>
    <w:rsid w:val="00643973"/>
    <w:rsid w:val="00644200"/>
    <w:rsid w:val="0064428B"/>
    <w:rsid w:val="00644511"/>
    <w:rsid w:val="0064486C"/>
    <w:rsid w:val="00644E60"/>
    <w:rsid w:val="0064552C"/>
    <w:rsid w:val="006457B7"/>
    <w:rsid w:val="00645C7B"/>
    <w:rsid w:val="00646556"/>
    <w:rsid w:val="006469AD"/>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B5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169"/>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700042"/>
    <w:rsid w:val="0070023A"/>
    <w:rsid w:val="00701493"/>
    <w:rsid w:val="0070179C"/>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2B9"/>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37"/>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79B"/>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1ED"/>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A"/>
    <w:rsid w:val="00792FCC"/>
    <w:rsid w:val="007939C7"/>
    <w:rsid w:val="00793CFE"/>
    <w:rsid w:val="00793F70"/>
    <w:rsid w:val="007947FB"/>
    <w:rsid w:val="00794B77"/>
    <w:rsid w:val="00794B9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B7A51"/>
    <w:rsid w:val="007C0379"/>
    <w:rsid w:val="007C0880"/>
    <w:rsid w:val="007C0BD2"/>
    <w:rsid w:val="007C0F3A"/>
    <w:rsid w:val="007C1065"/>
    <w:rsid w:val="007C1357"/>
    <w:rsid w:val="007C140F"/>
    <w:rsid w:val="007C1537"/>
    <w:rsid w:val="007C16D7"/>
    <w:rsid w:val="007C1B94"/>
    <w:rsid w:val="007C2277"/>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C85"/>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9ED"/>
    <w:rsid w:val="00843AFD"/>
    <w:rsid w:val="008444F8"/>
    <w:rsid w:val="00844750"/>
    <w:rsid w:val="008453B6"/>
    <w:rsid w:val="00845F51"/>
    <w:rsid w:val="00845F5B"/>
    <w:rsid w:val="00845F6D"/>
    <w:rsid w:val="00846106"/>
    <w:rsid w:val="008462E7"/>
    <w:rsid w:val="00846467"/>
    <w:rsid w:val="00846C5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CCA"/>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73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060"/>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697"/>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A8"/>
    <w:rsid w:val="008B4F28"/>
    <w:rsid w:val="008B535C"/>
    <w:rsid w:val="008B5577"/>
    <w:rsid w:val="008B58AE"/>
    <w:rsid w:val="008B60E9"/>
    <w:rsid w:val="008B60ED"/>
    <w:rsid w:val="008B68DD"/>
    <w:rsid w:val="008B6904"/>
    <w:rsid w:val="008B6CC8"/>
    <w:rsid w:val="008B6DC9"/>
    <w:rsid w:val="008B6E5C"/>
    <w:rsid w:val="008B7394"/>
    <w:rsid w:val="008B766A"/>
    <w:rsid w:val="008B7A0E"/>
    <w:rsid w:val="008C0192"/>
    <w:rsid w:val="008C0B9C"/>
    <w:rsid w:val="008C0D73"/>
    <w:rsid w:val="008C0FB9"/>
    <w:rsid w:val="008C22AB"/>
    <w:rsid w:val="008C2426"/>
    <w:rsid w:val="008C2453"/>
    <w:rsid w:val="008C26B4"/>
    <w:rsid w:val="008C28BA"/>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2B2"/>
    <w:rsid w:val="008D453F"/>
    <w:rsid w:val="008D469A"/>
    <w:rsid w:val="008D508F"/>
    <w:rsid w:val="008D538D"/>
    <w:rsid w:val="008D5697"/>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1E"/>
    <w:rsid w:val="008E1B76"/>
    <w:rsid w:val="008E1FDF"/>
    <w:rsid w:val="008E2051"/>
    <w:rsid w:val="008E20EC"/>
    <w:rsid w:val="008E24B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1CA"/>
    <w:rsid w:val="008E5B5F"/>
    <w:rsid w:val="008E5B80"/>
    <w:rsid w:val="008E5D5A"/>
    <w:rsid w:val="008E60D0"/>
    <w:rsid w:val="008E6333"/>
    <w:rsid w:val="008E63CD"/>
    <w:rsid w:val="008E6718"/>
    <w:rsid w:val="008E6788"/>
    <w:rsid w:val="008E76C0"/>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1F19"/>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C5B"/>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10"/>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B97"/>
    <w:rsid w:val="00941CE1"/>
    <w:rsid w:val="00942330"/>
    <w:rsid w:val="00942828"/>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A5D"/>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912"/>
    <w:rsid w:val="00977B50"/>
    <w:rsid w:val="00977EC7"/>
    <w:rsid w:val="00980403"/>
    <w:rsid w:val="009804CB"/>
    <w:rsid w:val="009809DD"/>
    <w:rsid w:val="00980F14"/>
    <w:rsid w:val="0098172B"/>
    <w:rsid w:val="009817F9"/>
    <w:rsid w:val="0098183B"/>
    <w:rsid w:val="009822AF"/>
    <w:rsid w:val="009823A3"/>
    <w:rsid w:val="009823DF"/>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4CB3"/>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2592"/>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4"/>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4976"/>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21F"/>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CE3"/>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097"/>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98F"/>
    <w:rsid w:val="00A25A28"/>
    <w:rsid w:val="00A261E4"/>
    <w:rsid w:val="00A26200"/>
    <w:rsid w:val="00A26337"/>
    <w:rsid w:val="00A26883"/>
    <w:rsid w:val="00A26D60"/>
    <w:rsid w:val="00A26E54"/>
    <w:rsid w:val="00A26EE0"/>
    <w:rsid w:val="00A27E36"/>
    <w:rsid w:val="00A27ECC"/>
    <w:rsid w:val="00A301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6CC"/>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EA1"/>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158B"/>
    <w:rsid w:val="00AA192D"/>
    <w:rsid w:val="00AA1D12"/>
    <w:rsid w:val="00AA1DBC"/>
    <w:rsid w:val="00AA1EEC"/>
    <w:rsid w:val="00AA1F14"/>
    <w:rsid w:val="00AA210C"/>
    <w:rsid w:val="00AA27F7"/>
    <w:rsid w:val="00AA29F2"/>
    <w:rsid w:val="00AA2A3B"/>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4D7"/>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2B9B"/>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56A"/>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6BE"/>
    <w:rsid w:val="00B04D36"/>
    <w:rsid w:val="00B04F11"/>
    <w:rsid w:val="00B054CE"/>
    <w:rsid w:val="00B05688"/>
    <w:rsid w:val="00B06102"/>
    <w:rsid w:val="00B0653A"/>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29C"/>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B9E"/>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083C"/>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7"/>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603"/>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6CE"/>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43"/>
    <w:rsid w:val="00B94253"/>
    <w:rsid w:val="00B9436E"/>
    <w:rsid w:val="00B95056"/>
    <w:rsid w:val="00B950E8"/>
    <w:rsid w:val="00B95242"/>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DC6"/>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382"/>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68C"/>
    <w:rsid w:val="00BD5A26"/>
    <w:rsid w:val="00BD5CD4"/>
    <w:rsid w:val="00BD5FA4"/>
    <w:rsid w:val="00BD6509"/>
    <w:rsid w:val="00BD689C"/>
    <w:rsid w:val="00BD6A22"/>
    <w:rsid w:val="00BD6D88"/>
    <w:rsid w:val="00BD754A"/>
    <w:rsid w:val="00BD782C"/>
    <w:rsid w:val="00BD7A82"/>
    <w:rsid w:val="00BD7F9E"/>
    <w:rsid w:val="00BE072F"/>
    <w:rsid w:val="00BE0FC3"/>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77"/>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4FBD"/>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AD3"/>
    <w:rsid w:val="00C17D7E"/>
    <w:rsid w:val="00C17D89"/>
    <w:rsid w:val="00C17E62"/>
    <w:rsid w:val="00C202D5"/>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27D4C"/>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B7C"/>
    <w:rsid w:val="00C57CC6"/>
    <w:rsid w:val="00C60002"/>
    <w:rsid w:val="00C601EB"/>
    <w:rsid w:val="00C603F8"/>
    <w:rsid w:val="00C60EC1"/>
    <w:rsid w:val="00C60FFC"/>
    <w:rsid w:val="00C6119C"/>
    <w:rsid w:val="00C61B02"/>
    <w:rsid w:val="00C61FD6"/>
    <w:rsid w:val="00C62027"/>
    <w:rsid w:val="00C62163"/>
    <w:rsid w:val="00C6279A"/>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90E"/>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C94"/>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440C"/>
    <w:rsid w:val="00CE5086"/>
    <w:rsid w:val="00CE5112"/>
    <w:rsid w:val="00CE5A7F"/>
    <w:rsid w:val="00CE5E50"/>
    <w:rsid w:val="00CE697C"/>
    <w:rsid w:val="00CE698C"/>
    <w:rsid w:val="00CE69F3"/>
    <w:rsid w:val="00CE6A2B"/>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E6E"/>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3F"/>
    <w:rsid w:val="00D11E89"/>
    <w:rsid w:val="00D11EEE"/>
    <w:rsid w:val="00D11F59"/>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786"/>
    <w:rsid w:val="00D31B49"/>
    <w:rsid w:val="00D31B9F"/>
    <w:rsid w:val="00D31BEA"/>
    <w:rsid w:val="00D32B6E"/>
    <w:rsid w:val="00D33313"/>
    <w:rsid w:val="00D33410"/>
    <w:rsid w:val="00D33AB3"/>
    <w:rsid w:val="00D33AFC"/>
    <w:rsid w:val="00D33C09"/>
    <w:rsid w:val="00D340CE"/>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4B0"/>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40C"/>
    <w:rsid w:val="00DA7954"/>
    <w:rsid w:val="00DA7A85"/>
    <w:rsid w:val="00DA7BC7"/>
    <w:rsid w:val="00DA7E4C"/>
    <w:rsid w:val="00DB0487"/>
    <w:rsid w:val="00DB0564"/>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C70"/>
    <w:rsid w:val="00DD6CED"/>
    <w:rsid w:val="00DD6DA2"/>
    <w:rsid w:val="00DD761C"/>
    <w:rsid w:val="00DD7D76"/>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41C"/>
    <w:rsid w:val="00DF7879"/>
    <w:rsid w:val="00E000AA"/>
    <w:rsid w:val="00E004D1"/>
    <w:rsid w:val="00E00633"/>
    <w:rsid w:val="00E00A07"/>
    <w:rsid w:val="00E00C3D"/>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E70"/>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A5D"/>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093"/>
    <w:rsid w:val="00EA514D"/>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BD"/>
    <w:rsid w:val="00EB46FE"/>
    <w:rsid w:val="00EB4A13"/>
    <w:rsid w:val="00EB534C"/>
    <w:rsid w:val="00EB53A5"/>
    <w:rsid w:val="00EB5513"/>
    <w:rsid w:val="00EB55D2"/>
    <w:rsid w:val="00EB57E7"/>
    <w:rsid w:val="00EB593E"/>
    <w:rsid w:val="00EB5BE9"/>
    <w:rsid w:val="00EB5CC3"/>
    <w:rsid w:val="00EB6440"/>
    <w:rsid w:val="00EB6698"/>
    <w:rsid w:val="00EB6763"/>
    <w:rsid w:val="00EB6C27"/>
    <w:rsid w:val="00EB6C53"/>
    <w:rsid w:val="00EB6FD8"/>
    <w:rsid w:val="00EB7502"/>
    <w:rsid w:val="00EB7832"/>
    <w:rsid w:val="00EB7B21"/>
    <w:rsid w:val="00EB7B45"/>
    <w:rsid w:val="00EB7C50"/>
    <w:rsid w:val="00EB7E4D"/>
    <w:rsid w:val="00EB7FE8"/>
    <w:rsid w:val="00EC045E"/>
    <w:rsid w:val="00EC0930"/>
    <w:rsid w:val="00EC117E"/>
    <w:rsid w:val="00EC183D"/>
    <w:rsid w:val="00EC1D83"/>
    <w:rsid w:val="00EC1F79"/>
    <w:rsid w:val="00EC2106"/>
    <w:rsid w:val="00EC23D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07B"/>
    <w:rsid w:val="00F0650D"/>
    <w:rsid w:val="00F06D91"/>
    <w:rsid w:val="00F06F02"/>
    <w:rsid w:val="00F0738D"/>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B8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3E70"/>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C31"/>
    <w:rsid w:val="00F80D8F"/>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72D"/>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18A"/>
    <w:rsid w:val="00FB15D5"/>
    <w:rsid w:val="00FB1694"/>
    <w:rsid w:val="00FB18E8"/>
    <w:rsid w:val="00FB19D8"/>
    <w:rsid w:val="00FB1DEC"/>
    <w:rsid w:val="00FB22E5"/>
    <w:rsid w:val="00FB2803"/>
    <w:rsid w:val="00FB2864"/>
    <w:rsid w:val="00FB2F94"/>
    <w:rsid w:val="00FB35AB"/>
    <w:rsid w:val="00FB38EA"/>
    <w:rsid w:val="00FB3CD6"/>
    <w:rsid w:val="00FB4065"/>
    <w:rsid w:val="00FB4374"/>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64"/>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7C6"/>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5DC"/>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006"/>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CF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6</Pages>
  <Words>1051</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Victor</cp:lastModifiedBy>
  <cp:revision>312</cp:revision>
  <cp:lastPrinted>2011-11-09T07:49:00Z</cp:lastPrinted>
  <dcterms:created xsi:type="dcterms:W3CDTF">2020-04-11T04:37:00Z</dcterms:created>
  <dcterms:modified xsi:type="dcterms:W3CDTF">2022-02-14T14:40:00Z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